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929"/>
        <w:gridCol w:w="1212"/>
        <w:gridCol w:w="3929"/>
      </w:tblGrid>
      <w:tr w:rsidR="00082701" w:rsidTr="00B05D6E">
        <w:trPr>
          <w:trHeight w:val="255"/>
        </w:trPr>
        <w:tc>
          <w:tcPr>
            <w:tcW w:w="3929" w:type="dxa"/>
            <w:tcBorders>
              <w:top w:val="nil"/>
              <w:left w:val="nil"/>
              <w:right w:val="nil"/>
            </w:tcBorders>
            <w:noWrap/>
            <w:vAlign w:val="bottom"/>
          </w:tcPr>
          <w:p w:rsidR="00082701" w:rsidRPr="00A00115" w:rsidRDefault="00082701" w:rsidP="00B05D6E">
            <w:pPr>
              <w:jc w:val="center"/>
              <w:rPr>
                <w:rFonts w:ascii="Tahoma" w:eastAsia="Arial Unicode MS" w:hAnsi="Tahoma" w:cs="Tahoma"/>
                <w:sz w:val="20"/>
              </w:rPr>
            </w:pPr>
            <w:bookmarkStart w:id="0" w:name="OLE_LINK3"/>
          </w:p>
        </w:tc>
        <w:tc>
          <w:tcPr>
            <w:tcW w:w="1212" w:type="dxa"/>
            <w:tcBorders>
              <w:top w:val="nil"/>
              <w:left w:val="nil"/>
              <w:bottom w:val="nil"/>
              <w:right w:val="nil"/>
            </w:tcBorders>
            <w:noWrap/>
            <w:vAlign w:val="bottom"/>
          </w:tcPr>
          <w:p w:rsidR="00082701" w:rsidRDefault="00082701" w:rsidP="00B05D6E">
            <w:pPr>
              <w:rPr>
                <w:rFonts w:ascii="Arial" w:eastAsia="Arial Unicode MS" w:hAnsi="Arial" w:cs="Arial"/>
                <w:sz w:val="20"/>
              </w:rPr>
            </w:pPr>
          </w:p>
        </w:tc>
        <w:tc>
          <w:tcPr>
            <w:tcW w:w="3929" w:type="dxa"/>
            <w:tcBorders>
              <w:top w:val="nil"/>
              <w:left w:val="nil"/>
              <w:bottom w:val="nil"/>
              <w:right w:val="nil"/>
            </w:tcBorders>
            <w:noWrap/>
            <w:vAlign w:val="bottom"/>
          </w:tcPr>
          <w:p w:rsidR="00082701" w:rsidRDefault="00082701" w:rsidP="00B05D6E">
            <w:pPr>
              <w:rPr>
                <w:rFonts w:ascii="Tahoma" w:eastAsia="Arial Unicode MS" w:hAnsi="Tahoma" w:cs="Tahoma"/>
                <w:sz w:val="20"/>
              </w:rPr>
            </w:pPr>
          </w:p>
        </w:tc>
      </w:tr>
      <w:tr w:rsidR="00082701" w:rsidTr="00B05D6E">
        <w:trPr>
          <w:cantSplit/>
          <w:trHeight w:val="360"/>
        </w:trPr>
        <w:tc>
          <w:tcPr>
            <w:tcW w:w="3929" w:type="dxa"/>
            <w:tcBorders>
              <w:left w:val="nil"/>
              <w:bottom w:val="nil"/>
              <w:right w:val="nil"/>
            </w:tcBorders>
            <w:noWrap/>
            <w:vAlign w:val="bottom"/>
          </w:tcPr>
          <w:p w:rsidR="00082701" w:rsidRPr="00480122" w:rsidRDefault="00082701" w:rsidP="00B05D6E">
            <w:pPr>
              <w:pStyle w:val="Naslov3"/>
              <w:rPr>
                <w:rFonts w:ascii="Cambria" w:eastAsia="Arial Unicode MS" w:hAnsi="Cambria"/>
              </w:rPr>
            </w:pPr>
            <w:r w:rsidRPr="00480122">
              <w:rPr>
                <w:rFonts w:ascii="Cambria" w:hAnsi="Cambria"/>
              </w:rPr>
              <w:t>Bosna i Hercegovina</w:t>
            </w:r>
          </w:p>
        </w:tc>
        <w:tc>
          <w:tcPr>
            <w:tcW w:w="1212" w:type="dxa"/>
            <w:vMerge w:val="restart"/>
            <w:tcBorders>
              <w:top w:val="nil"/>
              <w:left w:val="nil"/>
              <w:bottom w:val="nil"/>
              <w:right w:val="nil"/>
            </w:tcBorders>
            <w:noWrap/>
            <w:vAlign w:val="bottom"/>
          </w:tcPr>
          <w:p w:rsidR="00082701" w:rsidRPr="00480122" w:rsidRDefault="00604C6B" w:rsidP="00B05D6E">
            <w:pPr>
              <w:rPr>
                <w:rFonts w:ascii="Cambria" w:eastAsia="Arial Unicode MS" w:hAnsi="Cambria" w:cs="Arial"/>
                <w:sz w:val="20"/>
              </w:rPr>
            </w:pPr>
            <w:r>
              <w:rPr>
                <w:rFonts w:ascii="Cambria" w:hAnsi="Cambria" w:cs="Arial"/>
                <w:noProof/>
                <w:sz w:val="20"/>
                <w:lang w:val="en-GB" w:eastAsia="en-GB"/>
              </w:rPr>
              <w:drawing>
                <wp:anchor distT="0" distB="0" distL="114300" distR="114300" simplePos="0" relativeHeight="251657728" behindDoc="0" locked="0" layoutInCell="1" allowOverlap="1">
                  <wp:simplePos x="0" y="0"/>
                  <wp:positionH relativeFrom="column">
                    <wp:posOffset>53340</wp:posOffset>
                  </wp:positionH>
                  <wp:positionV relativeFrom="paragraph">
                    <wp:posOffset>59690</wp:posOffset>
                  </wp:positionV>
                  <wp:extent cx="589280" cy="635635"/>
                  <wp:effectExtent l="0" t="0" r="0" b="0"/>
                  <wp:wrapNone/>
                  <wp:docPr id="2" name="Slika 2" descr="Grb Bosne i Hercego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Bosne i Hercegov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80" cy="635635"/>
                          </a:xfrm>
                          <a:prstGeom prst="rect">
                            <a:avLst/>
                          </a:prstGeom>
                          <a:noFill/>
                        </pic:spPr>
                      </pic:pic>
                    </a:graphicData>
                  </a:graphic>
                  <wp14:sizeRelH relativeFrom="page">
                    <wp14:pctWidth>0</wp14:pctWidth>
                  </wp14:sizeRelH>
                  <wp14:sizeRelV relativeFrom="page">
                    <wp14:pctHeight>0</wp14:pctHeight>
                  </wp14:sizeRelV>
                </wp:anchor>
              </w:drawing>
            </w:r>
          </w:p>
        </w:tc>
        <w:tc>
          <w:tcPr>
            <w:tcW w:w="3929" w:type="dxa"/>
            <w:tcBorders>
              <w:top w:val="nil"/>
              <w:left w:val="nil"/>
              <w:bottom w:val="nil"/>
              <w:right w:val="nil"/>
            </w:tcBorders>
            <w:noWrap/>
            <w:vAlign w:val="bottom"/>
          </w:tcPr>
          <w:p w:rsidR="00082701" w:rsidRPr="00480122" w:rsidRDefault="00082701" w:rsidP="00B05D6E">
            <w:pPr>
              <w:jc w:val="center"/>
              <w:rPr>
                <w:rFonts w:ascii="Cambria" w:eastAsia="Arial Unicode MS" w:hAnsi="Cambria" w:cs="Tahoma"/>
                <w:sz w:val="32"/>
                <w:szCs w:val="28"/>
              </w:rPr>
            </w:pPr>
            <w:proofErr w:type="spellStart"/>
            <w:r w:rsidRPr="00480122">
              <w:rPr>
                <w:rFonts w:ascii="Cambria" w:hAnsi="Cambria" w:cs="Tahoma"/>
                <w:sz w:val="32"/>
                <w:szCs w:val="28"/>
              </w:rPr>
              <w:t>Босна</w:t>
            </w:r>
            <w:proofErr w:type="spellEnd"/>
            <w:r w:rsidRPr="00480122">
              <w:rPr>
                <w:rFonts w:ascii="Cambria" w:hAnsi="Cambria" w:cs="Tahoma"/>
                <w:sz w:val="32"/>
                <w:szCs w:val="28"/>
              </w:rPr>
              <w:t xml:space="preserve"> и </w:t>
            </w:r>
            <w:proofErr w:type="spellStart"/>
            <w:r w:rsidRPr="00480122">
              <w:rPr>
                <w:rFonts w:ascii="Cambria" w:hAnsi="Cambria" w:cs="Tahoma"/>
                <w:sz w:val="32"/>
                <w:szCs w:val="28"/>
              </w:rPr>
              <w:t>Херцеговина</w:t>
            </w:r>
            <w:proofErr w:type="spellEnd"/>
          </w:p>
        </w:tc>
      </w:tr>
      <w:tr w:rsidR="00082701" w:rsidTr="00B05D6E">
        <w:trPr>
          <w:cantSplit/>
          <w:trHeight w:val="750"/>
        </w:trPr>
        <w:tc>
          <w:tcPr>
            <w:tcW w:w="3929" w:type="dxa"/>
            <w:tcBorders>
              <w:top w:val="nil"/>
              <w:left w:val="nil"/>
              <w:right w:val="nil"/>
            </w:tcBorders>
            <w:noWrap/>
            <w:vAlign w:val="bottom"/>
          </w:tcPr>
          <w:p w:rsidR="00082701" w:rsidRPr="00480122" w:rsidRDefault="00082701" w:rsidP="00B05D6E">
            <w:pPr>
              <w:jc w:val="center"/>
              <w:rPr>
                <w:rFonts w:ascii="Cambria" w:hAnsi="Cambria" w:cs="Tahoma"/>
                <w:sz w:val="28"/>
                <w:szCs w:val="28"/>
                <w:lang w:val="bs-Latn-BA"/>
              </w:rPr>
            </w:pPr>
            <w:r w:rsidRPr="00480122">
              <w:rPr>
                <w:rFonts w:ascii="Cambria" w:hAnsi="Cambria" w:cs="Tahoma"/>
                <w:sz w:val="28"/>
                <w:szCs w:val="28"/>
              </w:rPr>
              <w:t xml:space="preserve">Institucija </w:t>
            </w:r>
            <w:proofErr w:type="spellStart"/>
            <w:r w:rsidRPr="00480122">
              <w:rPr>
                <w:rFonts w:ascii="Cambria" w:hAnsi="Cambria" w:cs="Tahoma"/>
                <w:sz w:val="28"/>
                <w:szCs w:val="28"/>
              </w:rPr>
              <w:t>ombudsmana</w:t>
            </w:r>
            <w:proofErr w:type="spellEnd"/>
            <w:r w:rsidRPr="00480122">
              <w:rPr>
                <w:rFonts w:ascii="Cambria" w:hAnsi="Cambria" w:cs="Tahoma"/>
                <w:sz w:val="28"/>
                <w:szCs w:val="28"/>
              </w:rPr>
              <w:t xml:space="preserve"> </w:t>
            </w:r>
          </w:p>
          <w:p w:rsidR="00082701" w:rsidRPr="00480122" w:rsidRDefault="00082701" w:rsidP="00B05D6E">
            <w:pPr>
              <w:jc w:val="center"/>
              <w:rPr>
                <w:rFonts w:ascii="Cambria" w:eastAsia="Arial Unicode MS" w:hAnsi="Cambria" w:cs="Tahoma"/>
                <w:sz w:val="28"/>
                <w:szCs w:val="28"/>
              </w:rPr>
            </w:pPr>
            <w:r w:rsidRPr="00480122">
              <w:rPr>
                <w:rFonts w:ascii="Cambria" w:hAnsi="Cambria" w:cs="Tahoma"/>
                <w:sz w:val="28"/>
                <w:szCs w:val="28"/>
              </w:rPr>
              <w:t>za zaštitu potrošača u</w:t>
            </w:r>
            <w:r w:rsidRPr="00480122">
              <w:rPr>
                <w:rFonts w:ascii="Cambria" w:hAnsi="Cambria" w:cs="Tahoma"/>
                <w:sz w:val="28"/>
                <w:szCs w:val="28"/>
                <w:lang w:val="hr-BA"/>
              </w:rPr>
              <w:t xml:space="preserve"> BiH</w:t>
            </w:r>
          </w:p>
        </w:tc>
        <w:tc>
          <w:tcPr>
            <w:tcW w:w="1212" w:type="dxa"/>
            <w:vMerge/>
            <w:tcBorders>
              <w:top w:val="nil"/>
              <w:left w:val="nil"/>
              <w:bottom w:val="nil"/>
              <w:right w:val="nil"/>
            </w:tcBorders>
            <w:vAlign w:val="center"/>
          </w:tcPr>
          <w:p w:rsidR="00082701" w:rsidRPr="00480122" w:rsidRDefault="00082701" w:rsidP="00B05D6E">
            <w:pPr>
              <w:rPr>
                <w:rFonts w:ascii="Cambria" w:eastAsia="Arial Unicode MS" w:hAnsi="Cambria" w:cs="Arial"/>
                <w:sz w:val="20"/>
              </w:rPr>
            </w:pPr>
          </w:p>
        </w:tc>
        <w:tc>
          <w:tcPr>
            <w:tcW w:w="3929" w:type="dxa"/>
            <w:tcBorders>
              <w:top w:val="nil"/>
              <w:left w:val="nil"/>
              <w:right w:val="nil"/>
            </w:tcBorders>
            <w:noWrap/>
            <w:vAlign w:val="bottom"/>
          </w:tcPr>
          <w:p w:rsidR="00082701" w:rsidRPr="00480122" w:rsidRDefault="00082701" w:rsidP="00B05D6E">
            <w:pPr>
              <w:jc w:val="center"/>
              <w:rPr>
                <w:rFonts w:ascii="Cambria" w:hAnsi="Cambria" w:cs="Tahoma"/>
                <w:sz w:val="28"/>
                <w:szCs w:val="28"/>
              </w:rPr>
            </w:pPr>
            <w:proofErr w:type="spellStart"/>
            <w:r w:rsidRPr="00480122">
              <w:rPr>
                <w:rFonts w:ascii="Cambria" w:hAnsi="Cambria" w:cs="Tahoma"/>
                <w:sz w:val="28"/>
                <w:szCs w:val="28"/>
              </w:rPr>
              <w:t>Институција</w:t>
            </w:r>
            <w:proofErr w:type="spellEnd"/>
            <w:r w:rsidRPr="00480122">
              <w:rPr>
                <w:rFonts w:ascii="Cambria" w:hAnsi="Cambria" w:cs="Tahoma"/>
                <w:sz w:val="28"/>
                <w:szCs w:val="28"/>
              </w:rPr>
              <w:t xml:space="preserve"> </w:t>
            </w:r>
            <w:proofErr w:type="spellStart"/>
            <w:r w:rsidRPr="00480122">
              <w:rPr>
                <w:rFonts w:ascii="Cambria" w:hAnsi="Cambria" w:cs="Tahoma"/>
                <w:sz w:val="28"/>
                <w:szCs w:val="28"/>
              </w:rPr>
              <w:t>oмбудсмана</w:t>
            </w:r>
            <w:proofErr w:type="spellEnd"/>
            <w:r w:rsidRPr="00480122">
              <w:rPr>
                <w:rFonts w:ascii="Cambria" w:hAnsi="Cambria" w:cs="Tahoma"/>
                <w:sz w:val="28"/>
                <w:szCs w:val="28"/>
              </w:rPr>
              <w:t xml:space="preserve"> </w:t>
            </w:r>
          </w:p>
          <w:p w:rsidR="00082701" w:rsidRPr="00480122" w:rsidRDefault="00082701" w:rsidP="00B05D6E">
            <w:pPr>
              <w:jc w:val="center"/>
              <w:rPr>
                <w:rFonts w:ascii="Cambria" w:eastAsia="Arial Unicode MS" w:hAnsi="Cambria" w:cs="Tahoma"/>
                <w:sz w:val="28"/>
                <w:szCs w:val="28"/>
              </w:rPr>
            </w:pPr>
            <w:proofErr w:type="spellStart"/>
            <w:r w:rsidRPr="00480122">
              <w:rPr>
                <w:rFonts w:ascii="Cambria" w:hAnsi="Cambria" w:cs="Tahoma"/>
                <w:sz w:val="28"/>
                <w:szCs w:val="28"/>
              </w:rPr>
              <w:t>за</w:t>
            </w:r>
            <w:proofErr w:type="spellEnd"/>
            <w:r w:rsidRPr="00480122">
              <w:rPr>
                <w:rFonts w:ascii="Cambria" w:hAnsi="Cambria" w:cs="Tahoma"/>
                <w:sz w:val="28"/>
                <w:szCs w:val="28"/>
              </w:rPr>
              <w:t xml:space="preserve"> </w:t>
            </w:r>
            <w:proofErr w:type="spellStart"/>
            <w:r w:rsidRPr="00480122">
              <w:rPr>
                <w:rFonts w:ascii="Cambria" w:hAnsi="Cambria" w:cs="Tahoma"/>
                <w:sz w:val="28"/>
                <w:szCs w:val="28"/>
              </w:rPr>
              <w:t>заштиту</w:t>
            </w:r>
            <w:proofErr w:type="spellEnd"/>
            <w:r w:rsidRPr="00480122">
              <w:rPr>
                <w:rFonts w:ascii="Cambria" w:hAnsi="Cambria" w:cs="Tahoma"/>
                <w:sz w:val="28"/>
                <w:szCs w:val="28"/>
              </w:rPr>
              <w:t xml:space="preserve"> </w:t>
            </w:r>
            <w:proofErr w:type="spellStart"/>
            <w:r w:rsidRPr="00480122">
              <w:rPr>
                <w:rFonts w:ascii="Cambria" w:hAnsi="Cambria" w:cs="Tahoma"/>
                <w:sz w:val="28"/>
                <w:szCs w:val="28"/>
              </w:rPr>
              <w:t>потрошача</w:t>
            </w:r>
            <w:proofErr w:type="spellEnd"/>
            <w:r w:rsidRPr="00480122">
              <w:rPr>
                <w:rFonts w:ascii="Cambria" w:hAnsi="Cambria" w:cs="Tahoma"/>
                <w:sz w:val="28"/>
                <w:szCs w:val="28"/>
              </w:rPr>
              <w:t xml:space="preserve"> у </w:t>
            </w:r>
            <w:proofErr w:type="spellStart"/>
            <w:r w:rsidRPr="00480122">
              <w:rPr>
                <w:rFonts w:ascii="Cambria" w:hAnsi="Cambria" w:cs="Tahoma"/>
                <w:sz w:val="28"/>
                <w:szCs w:val="28"/>
              </w:rPr>
              <w:t>БиХ</w:t>
            </w:r>
            <w:proofErr w:type="spellEnd"/>
          </w:p>
        </w:tc>
      </w:tr>
      <w:tr w:rsidR="00082701" w:rsidTr="00B05D6E">
        <w:trPr>
          <w:cantSplit/>
          <w:trHeight w:val="255"/>
        </w:trPr>
        <w:tc>
          <w:tcPr>
            <w:tcW w:w="3929" w:type="dxa"/>
            <w:tcBorders>
              <w:top w:val="nil"/>
              <w:left w:val="nil"/>
              <w:right w:val="nil"/>
            </w:tcBorders>
            <w:noWrap/>
            <w:vAlign w:val="bottom"/>
          </w:tcPr>
          <w:p w:rsidR="00082701" w:rsidRDefault="00082701" w:rsidP="00B05D6E">
            <w:pPr>
              <w:rPr>
                <w:rFonts w:ascii="Tahoma" w:eastAsia="Arial Unicode MS" w:hAnsi="Tahoma" w:cs="Tahoma"/>
                <w:sz w:val="20"/>
              </w:rPr>
            </w:pPr>
          </w:p>
        </w:tc>
        <w:tc>
          <w:tcPr>
            <w:tcW w:w="1212" w:type="dxa"/>
            <w:vMerge/>
            <w:tcBorders>
              <w:top w:val="nil"/>
              <w:left w:val="nil"/>
              <w:bottom w:val="nil"/>
              <w:right w:val="nil"/>
            </w:tcBorders>
            <w:vAlign w:val="center"/>
          </w:tcPr>
          <w:p w:rsidR="00082701" w:rsidRDefault="00082701" w:rsidP="00B05D6E">
            <w:pPr>
              <w:rPr>
                <w:rFonts w:ascii="Arial" w:eastAsia="Arial Unicode MS" w:hAnsi="Arial" w:cs="Arial"/>
                <w:sz w:val="20"/>
              </w:rPr>
            </w:pPr>
          </w:p>
        </w:tc>
        <w:tc>
          <w:tcPr>
            <w:tcW w:w="3929" w:type="dxa"/>
            <w:tcBorders>
              <w:top w:val="nil"/>
              <w:left w:val="nil"/>
              <w:right w:val="nil"/>
            </w:tcBorders>
            <w:noWrap/>
            <w:vAlign w:val="bottom"/>
          </w:tcPr>
          <w:p w:rsidR="00082701" w:rsidRDefault="00082701" w:rsidP="00B05D6E">
            <w:pPr>
              <w:rPr>
                <w:rFonts w:ascii="Tahoma" w:eastAsia="Arial Unicode MS" w:hAnsi="Tahoma" w:cs="Tahoma"/>
                <w:sz w:val="20"/>
              </w:rPr>
            </w:pPr>
          </w:p>
        </w:tc>
      </w:tr>
    </w:tbl>
    <w:p w:rsidR="00082701" w:rsidRDefault="00082701" w:rsidP="00B05D6E">
      <w:pPr>
        <w:ind w:left="284" w:hanging="284"/>
        <w:jc w:val="both"/>
        <w:rPr>
          <w:rFonts w:ascii="Cambria" w:hAnsi="Cambria" w:cs="Arial"/>
          <w:szCs w:val="24"/>
        </w:rPr>
      </w:pPr>
    </w:p>
    <w:p w:rsidR="00082701" w:rsidRPr="000421E7" w:rsidRDefault="000421E7" w:rsidP="00B05D6E">
      <w:pPr>
        <w:ind w:left="284" w:hanging="284"/>
        <w:jc w:val="both"/>
        <w:rPr>
          <w:rFonts w:ascii="Cambria" w:hAnsi="Cambria" w:cs="Arial"/>
          <w:szCs w:val="24"/>
        </w:rPr>
      </w:pPr>
      <w:bookmarkStart w:id="1" w:name="OLE_LINK1"/>
      <w:bookmarkStart w:id="2" w:name="OLE_LINK2"/>
      <w:r w:rsidRPr="000421E7">
        <w:rPr>
          <w:rFonts w:ascii="Cambria" w:hAnsi="Cambria" w:cs="Arial"/>
          <w:szCs w:val="24"/>
        </w:rPr>
        <w:t xml:space="preserve">Broj: </w:t>
      </w:r>
    </w:p>
    <w:p w:rsidR="00082701" w:rsidRPr="000421E7" w:rsidRDefault="000421E7" w:rsidP="00B05D6E">
      <w:pPr>
        <w:spacing w:after="240"/>
        <w:ind w:left="284" w:hanging="284"/>
        <w:jc w:val="both"/>
        <w:rPr>
          <w:rFonts w:ascii="Cambria" w:hAnsi="Cambria" w:cs="Arial"/>
          <w:szCs w:val="24"/>
        </w:rPr>
      </w:pPr>
      <w:r w:rsidRPr="000421E7">
        <w:rPr>
          <w:rFonts w:ascii="Cambria" w:hAnsi="Cambria" w:cs="Arial"/>
          <w:szCs w:val="24"/>
        </w:rPr>
        <w:t xml:space="preserve">Mostar, </w:t>
      </w:r>
    </w:p>
    <w:p w:rsidR="00082701" w:rsidRDefault="00082701" w:rsidP="00B05D6E">
      <w:pPr>
        <w:spacing w:after="360"/>
        <w:jc w:val="both"/>
        <w:rPr>
          <w:rFonts w:ascii="Cambria" w:hAnsi="Cambria" w:cs="Arial"/>
        </w:rPr>
      </w:pPr>
      <w:r w:rsidRPr="00480122">
        <w:rPr>
          <w:rFonts w:ascii="Cambria" w:hAnsi="Cambria" w:cs="Arial"/>
        </w:rPr>
        <w:t>Temeljem članka 24. Zakona o ministarstvima i drugim organima uprave Bosne i Hercegovine („Službeni glasnik BiH“, broj 5/03, 42/03, 26/04, 42</w:t>
      </w:r>
      <w:r w:rsidR="00A00115">
        <w:rPr>
          <w:rFonts w:ascii="Cambria" w:hAnsi="Cambria" w:cs="Arial"/>
        </w:rPr>
        <w:t>/04, 45/06, 88/07, 35/09, 59/09,</w:t>
      </w:r>
      <w:r w:rsidRPr="00480122">
        <w:rPr>
          <w:rFonts w:ascii="Cambria" w:hAnsi="Cambria" w:cs="Arial"/>
        </w:rPr>
        <w:t>103/09</w:t>
      </w:r>
      <w:r w:rsidR="00A00115">
        <w:rPr>
          <w:rFonts w:ascii="Cambria" w:hAnsi="Cambria" w:cs="Arial"/>
        </w:rPr>
        <w:t>, 87/12, 6/13, 19/16 i 83/17</w:t>
      </w:r>
      <w:r w:rsidRPr="00480122">
        <w:rPr>
          <w:rFonts w:ascii="Cambria" w:hAnsi="Cambria" w:cs="Arial"/>
        </w:rPr>
        <w:t xml:space="preserve">) i člana 11. Odluke о godišnjem </w:t>
      </w:r>
      <w:r w:rsidR="004E1C6E" w:rsidRPr="00480122">
        <w:rPr>
          <w:rFonts w:ascii="Cambria" w:hAnsi="Cambria" w:cs="Arial"/>
        </w:rPr>
        <w:t>planiranju</w:t>
      </w:r>
      <w:r w:rsidRPr="00480122">
        <w:rPr>
          <w:rFonts w:ascii="Cambria" w:hAnsi="Cambria" w:cs="Arial"/>
        </w:rPr>
        <w:t xml:space="preserve"> rada i načinu praćenja i </w:t>
      </w:r>
      <w:proofErr w:type="spellStart"/>
      <w:r w:rsidRPr="00480122">
        <w:rPr>
          <w:rFonts w:ascii="Cambria" w:hAnsi="Cambria" w:cs="Arial"/>
        </w:rPr>
        <w:t>izvјеštаvаnjа</w:t>
      </w:r>
      <w:proofErr w:type="spellEnd"/>
      <w:r w:rsidRPr="00480122">
        <w:rPr>
          <w:rFonts w:ascii="Cambria" w:hAnsi="Cambria" w:cs="Arial"/>
        </w:rPr>
        <w:t xml:space="preserve"> u institucijama Bosne i Hercegovine ("Službeni glasnik BiH", broj 94/14), </w:t>
      </w:r>
      <w:r w:rsidRPr="00480122">
        <w:rPr>
          <w:rFonts w:ascii="Cambria" w:hAnsi="Cambria" w:cs="Arial"/>
          <w:szCs w:val="24"/>
        </w:rPr>
        <w:t xml:space="preserve">Institucija </w:t>
      </w:r>
      <w:proofErr w:type="spellStart"/>
      <w:r w:rsidRPr="00480122">
        <w:rPr>
          <w:rFonts w:ascii="Cambria" w:hAnsi="Cambria" w:cs="Arial"/>
          <w:szCs w:val="24"/>
        </w:rPr>
        <w:t>ombudsmana</w:t>
      </w:r>
      <w:proofErr w:type="spellEnd"/>
      <w:r w:rsidRPr="00480122">
        <w:rPr>
          <w:rFonts w:ascii="Cambria" w:hAnsi="Cambria" w:cs="Arial"/>
          <w:szCs w:val="24"/>
        </w:rPr>
        <w:t xml:space="preserve"> za zaštitu potrošača u BiH</w:t>
      </w:r>
      <w:r w:rsidRPr="00480122">
        <w:rPr>
          <w:rFonts w:ascii="Cambria" w:hAnsi="Cambria" w:cs="Arial"/>
        </w:rPr>
        <w:t>, p o d n o s i</w:t>
      </w:r>
    </w:p>
    <w:p w:rsidR="00F54575" w:rsidRPr="00480122" w:rsidRDefault="00F54575" w:rsidP="00F54575">
      <w:pPr>
        <w:spacing w:after="360"/>
        <w:jc w:val="center"/>
        <w:rPr>
          <w:rFonts w:ascii="Cambria" w:hAnsi="Cambria" w:cs="Arial"/>
        </w:rPr>
      </w:pPr>
      <w:r>
        <w:rPr>
          <w:rFonts w:ascii="Cambria" w:hAnsi="Cambria" w:cs="Arial"/>
        </w:rPr>
        <w:t>prijedlog</w:t>
      </w:r>
    </w:p>
    <w:p w:rsidR="00082701" w:rsidRPr="00480122" w:rsidRDefault="00082701" w:rsidP="00B05D6E">
      <w:pPr>
        <w:spacing w:after="120"/>
        <w:jc w:val="center"/>
        <w:rPr>
          <w:rFonts w:ascii="Cambria" w:hAnsi="Cambria" w:cs="Arial"/>
          <w:b/>
          <w:lang w:val="bs-Latn-BA"/>
        </w:rPr>
      </w:pPr>
      <w:r w:rsidRPr="00480122">
        <w:rPr>
          <w:rFonts w:ascii="Cambria" w:hAnsi="Cambria" w:cs="Arial"/>
          <w:b/>
          <w:lang w:val="bs-Latn-BA"/>
        </w:rPr>
        <w:t>IZVJEŠ</w:t>
      </w:r>
      <w:r w:rsidR="00F54575">
        <w:rPr>
          <w:rFonts w:ascii="Cambria" w:hAnsi="Cambria" w:cs="Arial"/>
          <w:b/>
          <w:lang w:val="bs-Latn-BA"/>
        </w:rPr>
        <w:t>ĆA</w:t>
      </w:r>
      <w:r w:rsidRPr="00480122">
        <w:rPr>
          <w:rFonts w:ascii="Cambria" w:hAnsi="Cambria" w:cs="Arial"/>
          <w:b/>
          <w:lang w:val="bs-Latn-BA"/>
        </w:rPr>
        <w:t xml:space="preserve"> O RADU</w:t>
      </w:r>
    </w:p>
    <w:p w:rsidR="00082701" w:rsidRPr="00480122" w:rsidRDefault="00082701" w:rsidP="00B05D6E">
      <w:pPr>
        <w:spacing w:after="360"/>
        <w:jc w:val="center"/>
        <w:rPr>
          <w:rFonts w:ascii="Cambria" w:hAnsi="Cambria" w:cs="Arial"/>
          <w:b/>
          <w:lang w:val="bs-Latn-BA"/>
        </w:rPr>
      </w:pPr>
      <w:r w:rsidRPr="00480122">
        <w:rPr>
          <w:rFonts w:ascii="Cambria" w:hAnsi="Cambria" w:cs="Arial"/>
          <w:b/>
          <w:lang w:val="bs-Latn-BA"/>
        </w:rPr>
        <w:t>INSTITUCIJE OMBUDSMANA ZA</w:t>
      </w:r>
      <w:r w:rsidR="005B6835">
        <w:rPr>
          <w:rFonts w:ascii="Cambria" w:hAnsi="Cambria" w:cs="Arial"/>
          <w:b/>
          <w:lang w:val="bs-Latn-BA"/>
        </w:rPr>
        <w:t xml:space="preserve"> ZAŠTITU POTROŠAČA U BIH ZA 2018</w:t>
      </w:r>
      <w:r w:rsidRPr="00480122">
        <w:rPr>
          <w:rFonts w:ascii="Cambria" w:hAnsi="Cambria" w:cs="Arial"/>
          <w:b/>
          <w:lang w:val="bs-Latn-BA"/>
        </w:rPr>
        <w:t>. GODINU</w:t>
      </w:r>
    </w:p>
    <w:p w:rsidR="00082701" w:rsidRPr="00EE720D" w:rsidRDefault="00082701" w:rsidP="00B05D6E">
      <w:pPr>
        <w:spacing w:after="120"/>
        <w:ind w:left="284"/>
        <w:jc w:val="both"/>
        <w:rPr>
          <w:rFonts w:ascii="Cambria" w:hAnsi="Cambria" w:cs="Arial"/>
          <w:b/>
          <w:szCs w:val="24"/>
        </w:rPr>
      </w:pPr>
      <w:r w:rsidRPr="00EE720D">
        <w:rPr>
          <w:rFonts w:ascii="Cambria" w:hAnsi="Cambria" w:cs="Arial"/>
          <w:b/>
          <w:szCs w:val="24"/>
        </w:rPr>
        <w:t>I – UVOD</w:t>
      </w:r>
    </w:p>
    <w:p w:rsidR="00082701" w:rsidRDefault="00082701" w:rsidP="00B05D6E">
      <w:pPr>
        <w:autoSpaceDE w:val="0"/>
        <w:autoSpaceDN w:val="0"/>
        <w:adjustRightInd w:val="0"/>
        <w:spacing w:line="276" w:lineRule="auto"/>
        <w:jc w:val="both"/>
        <w:rPr>
          <w:rFonts w:ascii="Cambria" w:hAnsi="Cambria" w:cs="Tahoma"/>
          <w:szCs w:val="24"/>
        </w:rPr>
      </w:pPr>
      <w:r w:rsidRPr="00EE720D">
        <w:rPr>
          <w:rFonts w:ascii="Cambria" w:hAnsi="Cambria" w:cs="Tahoma"/>
          <w:szCs w:val="24"/>
        </w:rPr>
        <w:t xml:space="preserve">Institucija </w:t>
      </w:r>
      <w:proofErr w:type="spellStart"/>
      <w:r w:rsidRPr="00EE720D">
        <w:rPr>
          <w:rFonts w:ascii="Cambria" w:hAnsi="Cambria" w:cs="Tahoma"/>
          <w:szCs w:val="24"/>
        </w:rPr>
        <w:t>ombudsmana</w:t>
      </w:r>
      <w:proofErr w:type="spellEnd"/>
      <w:r w:rsidRPr="00EE720D">
        <w:rPr>
          <w:rFonts w:ascii="Cambria" w:hAnsi="Cambria" w:cs="Tahoma"/>
          <w:szCs w:val="24"/>
        </w:rPr>
        <w:t xml:space="preserve"> za zaštitu potrošača u BiH (dalje u tekstu </w:t>
      </w:r>
      <w:r w:rsidRPr="00EE720D">
        <w:rPr>
          <w:rFonts w:ascii="Cambria" w:hAnsi="Cambria" w:cs="Tahoma"/>
          <w:i/>
          <w:szCs w:val="24"/>
        </w:rPr>
        <w:t xml:space="preserve">Institucija </w:t>
      </w:r>
      <w:proofErr w:type="spellStart"/>
      <w:r w:rsidRPr="00EE720D">
        <w:rPr>
          <w:rFonts w:ascii="Cambria" w:hAnsi="Cambria" w:cs="Tahoma"/>
          <w:i/>
          <w:szCs w:val="24"/>
        </w:rPr>
        <w:t>ombudsmana</w:t>
      </w:r>
      <w:proofErr w:type="spellEnd"/>
      <w:r w:rsidRPr="00EE720D">
        <w:rPr>
          <w:rFonts w:ascii="Cambria" w:hAnsi="Cambria" w:cs="Tahoma"/>
          <w:szCs w:val="24"/>
        </w:rPr>
        <w:t>) je neovisna institucija uspostavljena s ciljem promidžbe dobrog i učinkovitog provođenja politike zaštite potrošača u BiH.</w:t>
      </w:r>
      <w:r w:rsidRPr="00EE720D">
        <w:rPr>
          <w:rFonts w:ascii="Cambria" w:hAnsi="Cambria" w:cs="Tahoma"/>
          <w:i/>
          <w:szCs w:val="24"/>
        </w:rPr>
        <w:t xml:space="preserve"> Zakon o zaštiti potrošača u BiH</w:t>
      </w:r>
      <w:r w:rsidRPr="00EE720D">
        <w:rPr>
          <w:rStyle w:val="Referencafusnote"/>
          <w:rFonts w:ascii="Cambria" w:hAnsi="Cambria" w:cs="Tahoma"/>
          <w:i/>
          <w:szCs w:val="24"/>
        </w:rPr>
        <w:footnoteReference w:id="1"/>
      </w:r>
      <w:r w:rsidRPr="00EE720D">
        <w:rPr>
          <w:rFonts w:ascii="Cambria" w:hAnsi="Cambria" w:cs="Tahoma"/>
          <w:i/>
          <w:szCs w:val="24"/>
        </w:rPr>
        <w:t xml:space="preserve"> </w:t>
      </w:r>
      <w:r w:rsidRPr="00EE720D">
        <w:rPr>
          <w:rFonts w:ascii="Cambria" w:hAnsi="Cambria" w:cs="Tahoma"/>
          <w:szCs w:val="24"/>
        </w:rPr>
        <w:t>(dalje u tekstu:</w:t>
      </w:r>
      <w:r w:rsidRPr="00EE720D">
        <w:rPr>
          <w:rFonts w:ascii="Cambria" w:hAnsi="Cambria" w:cs="Tahoma"/>
          <w:i/>
          <w:szCs w:val="24"/>
        </w:rPr>
        <w:t xml:space="preserve"> Zakon</w:t>
      </w:r>
      <w:r w:rsidRPr="00EE720D">
        <w:rPr>
          <w:rFonts w:ascii="Cambria" w:hAnsi="Cambria" w:cs="Tahoma"/>
          <w:szCs w:val="24"/>
        </w:rPr>
        <w:t xml:space="preserve">), kao temeljni zakon Institucije </w:t>
      </w:r>
      <w:proofErr w:type="spellStart"/>
      <w:r w:rsidRPr="00EE720D">
        <w:rPr>
          <w:rFonts w:ascii="Cambria" w:hAnsi="Cambria" w:cs="Tahoma"/>
          <w:szCs w:val="24"/>
        </w:rPr>
        <w:t>ombudsmana</w:t>
      </w:r>
      <w:proofErr w:type="spellEnd"/>
      <w:r w:rsidRPr="00EE720D">
        <w:rPr>
          <w:rFonts w:ascii="Cambria" w:hAnsi="Cambria" w:cs="Tahoma"/>
          <w:szCs w:val="24"/>
        </w:rPr>
        <w:t xml:space="preserve">, propisuje  obveze  i ovlaštenja </w:t>
      </w:r>
      <w:proofErr w:type="spellStart"/>
      <w:r w:rsidRPr="00EE720D">
        <w:rPr>
          <w:rFonts w:ascii="Cambria" w:hAnsi="Cambria" w:cs="Tahoma"/>
          <w:szCs w:val="24"/>
        </w:rPr>
        <w:t>Ombudsmana</w:t>
      </w:r>
      <w:proofErr w:type="spellEnd"/>
      <w:r w:rsidRPr="00EE720D">
        <w:rPr>
          <w:rFonts w:ascii="Cambria" w:hAnsi="Cambria" w:cs="Tahoma"/>
          <w:szCs w:val="24"/>
        </w:rPr>
        <w:t xml:space="preserve"> i istovremeno uređuje odnose između  potrošača,  proizvođača i trgovaca na teritoriju Bosne i Hercegovine.  </w:t>
      </w:r>
    </w:p>
    <w:p w:rsidR="00082701" w:rsidRDefault="00082701" w:rsidP="00B05D6E">
      <w:pPr>
        <w:autoSpaceDE w:val="0"/>
        <w:autoSpaceDN w:val="0"/>
        <w:adjustRightInd w:val="0"/>
        <w:spacing w:line="276" w:lineRule="auto"/>
        <w:jc w:val="both"/>
        <w:rPr>
          <w:rFonts w:ascii="Cambria" w:hAnsi="Cambria" w:cs="Tahoma"/>
          <w:szCs w:val="24"/>
        </w:rPr>
      </w:pPr>
      <w:r w:rsidRPr="00EE720D">
        <w:rPr>
          <w:rFonts w:ascii="Cambria" w:hAnsi="Cambria" w:cs="Tahoma"/>
          <w:szCs w:val="24"/>
        </w:rPr>
        <w:t xml:space="preserve">Institucija </w:t>
      </w:r>
      <w:proofErr w:type="spellStart"/>
      <w:r w:rsidRPr="00EE720D">
        <w:rPr>
          <w:rFonts w:ascii="Cambria" w:hAnsi="Cambria" w:cs="Tahoma"/>
          <w:szCs w:val="24"/>
        </w:rPr>
        <w:t>ombudsmana</w:t>
      </w:r>
      <w:proofErr w:type="spellEnd"/>
      <w:r w:rsidRPr="00EE720D">
        <w:rPr>
          <w:rFonts w:ascii="Cambria" w:hAnsi="Cambria" w:cs="Tahoma"/>
          <w:szCs w:val="24"/>
        </w:rPr>
        <w:t xml:space="preserve"> ostvaruje svoj specifični cilj, tj. pridonosi srednjoročnom cilju kroz dva aspekta svog djelovanja koje se međusobno prožimaju i nadopunjuju: pojedinačna postupanja i postupanja koja imaju kolektivni karakter zaštite potrošača.</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Godišnjim programom rada za</w:t>
      </w:r>
      <w:r w:rsidR="005B6835">
        <w:rPr>
          <w:rFonts w:ascii="Cambria" w:hAnsi="Cambria" w:cs="Tahoma"/>
          <w:szCs w:val="24"/>
        </w:rPr>
        <w:t xml:space="preserve"> 2018</w:t>
      </w:r>
      <w:r>
        <w:rPr>
          <w:rFonts w:ascii="Cambria" w:hAnsi="Cambria" w:cs="Tahoma"/>
          <w:szCs w:val="24"/>
        </w:rPr>
        <w:t xml:space="preserve">. godinu Institucija </w:t>
      </w:r>
      <w:proofErr w:type="spellStart"/>
      <w:r>
        <w:rPr>
          <w:rFonts w:ascii="Cambria" w:hAnsi="Cambria" w:cs="Tahoma"/>
          <w:szCs w:val="24"/>
        </w:rPr>
        <w:t>ombudsmana</w:t>
      </w:r>
      <w:proofErr w:type="spellEnd"/>
      <w:r>
        <w:rPr>
          <w:rFonts w:ascii="Cambria" w:hAnsi="Cambria" w:cs="Tahoma"/>
          <w:szCs w:val="24"/>
        </w:rPr>
        <w:t xml:space="preserve"> je postavila planirane aktivnosti aproksimativno kroz dva Projekta. Realizacija planiranih aktivnosti podložna je aktualnim svjetskim gospodarskim trendovima kao i aktualnoj situaciji na tržištu potrošačkih roba i usluga.</w:t>
      </w:r>
    </w:p>
    <w:p w:rsidR="00082701" w:rsidRPr="000421E7" w:rsidRDefault="00082701" w:rsidP="00B05D6E">
      <w:pPr>
        <w:autoSpaceDE w:val="0"/>
        <w:autoSpaceDN w:val="0"/>
        <w:adjustRightInd w:val="0"/>
        <w:spacing w:line="276" w:lineRule="auto"/>
        <w:jc w:val="both"/>
        <w:rPr>
          <w:rFonts w:ascii="Cambria" w:hAnsi="Cambria" w:cs="Tahoma"/>
          <w:b/>
          <w:szCs w:val="24"/>
        </w:rPr>
      </w:pPr>
    </w:p>
    <w:p w:rsidR="00082701" w:rsidRPr="000421E7" w:rsidRDefault="00082701" w:rsidP="00B05D6E">
      <w:pPr>
        <w:autoSpaceDE w:val="0"/>
        <w:autoSpaceDN w:val="0"/>
        <w:adjustRightInd w:val="0"/>
        <w:spacing w:line="276" w:lineRule="auto"/>
        <w:ind w:left="709" w:hanging="720"/>
        <w:jc w:val="both"/>
        <w:rPr>
          <w:rFonts w:ascii="Cambria" w:hAnsi="Cambria" w:cs="Tahoma"/>
          <w:b/>
          <w:szCs w:val="24"/>
        </w:rPr>
      </w:pPr>
      <w:r w:rsidRPr="000421E7">
        <w:rPr>
          <w:rFonts w:ascii="Cambria" w:hAnsi="Cambria" w:cs="Tahoma"/>
          <w:b/>
          <w:szCs w:val="24"/>
        </w:rPr>
        <w:t>Pojedinačna pravna podrška</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Pojedinačna pravna podrška potrošačima sastoji se davanje konkretnih informacija (savjeta usmenih i pismenih) vezano za potrošačke odnose, rješavanje po žalbama (pritužbama)  potrošača kao i davanja tumačenja ili mišljenja koja se odnose na konkretne pojedinačne predmete ili normativne pravne akte.</w:t>
      </w:r>
      <w:r w:rsidR="00035E6E" w:rsidRPr="00035E6E">
        <w:t xml:space="preserve"> </w:t>
      </w:r>
      <w:r w:rsidR="00035E6E" w:rsidRPr="00035E6E">
        <w:rPr>
          <w:rFonts w:ascii="Cambria" w:hAnsi="Cambria" w:cs="Tahoma"/>
          <w:szCs w:val="24"/>
        </w:rPr>
        <w:t xml:space="preserve">Institucija </w:t>
      </w:r>
      <w:proofErr w:type="spellStart"/>
      <w:r w:rsidR="00035E6E" w:rsidRPr="00035E6E">
        <w:rPr>
          <w:rFonts w:ascii="Cambria" w:hAnsi="Cambria" w:cs="Tahoma"/>
          <w:szCs w:val="24"/>
        </w:rPr>
        <w:t>ombudsmana</w:t>
      </w:r>
      <w:proofErr w:type="spellEnd"/>
      <w:r w:rsidR="00035E6E" w:rsidRPr="00035E6E">
        <w:rPr>
          <w:rFonts w:ascii="Cambria" w:hAnsi="Cambria" w:cs="Tahoma"/>
          <w:szCs w:val="24"/>
        </w:rPr>
        <w:t xml:space="preserve"> putem usmenih i pismenih savjeta, u pojednostavljenoj formi (e-mail ili telefonski poziv) promptno pruža </w:t>
      </w:r>
      <w:r w:rsidR="00035E6E" w:rsidRPr="00035E6E">
        <w:rPr>
          <w:rFonts w:ascii="Cambria" w:hAnsi="Cambria" w:cs="Tahoma"/>
          <w:szCs w:val="24"/>
        </w:rPr>
        <w:lastRenderedPageBreak/>
        <w:t>informaciju potrošaču kako bi ovaj u relativnom kratkim rokovima mogao ostvariti svoja zakonom zajamčena prava.</w:t>
      </w:r>
      <w:r>
        <w:rPr>
          <w:rFonts w:ascii="Cambria" w:hAnsi="Cambria" w:cs="Tahoma"/>
          <w:szCs w:val="24"/>
        </w:rPr>
        <w:t xml:space="preserve"> </w:t>
      </w:r>
    </w:p>
    <w:p w:rsidR="00731B3E" w:rsidRDefault="00731B3E" w:rsidP="00B05D6E">
      <w:pPr>
        <w:autoSpaceDE w:val="0"/>
        <w:autoSpaceDN w:val="0"/>
        <w:adjustRightInd w:val="0"/>
        <w:spacing w:line="276" w:lineRule="auto"/>
        <w:jc w:val="both"/>
        <w:rPr>
          <w:rFonts w:ascii="Cambria" w:hAnsi="Cambria" w:cs="Tahoma"/>
          <w:szCs w:val="24"/>
        </w:rPr>
      </w:pPr>
      <w:r>
        <w:rPr>
          <w:rFonts w:ascii="Cambria" w:hAnsi="Cambria" w:cs="Tahoma"/>
          <w:szCs w:val="24"/>
        </w:rPr>
        <w:t>Također, bilježimo porast izdanih mišljenja i tumačenja zatraženih od strane</w:t>
      </w:r>
      <w:r w:rsidR="003A4ABB">
        <w:rPr>
          <w:rFonts w:ascii="Cambria" w:hAnsi="Cambria" w:cs="Tahoma"/>
          <w:szCs w:val="24"/>
        </w:rPr>
        <w:t xml:space="preserve"> trgovaca, pružatelja usluga te raznih državnih institucija. Ovo je aktivnost sa značajnim kolektivnim aspektom</w:t>
      </w:r>
      <w:r w:rsidR="00FA4EBF">
        <w:rPr>
          <w:rFonts w:ascii="Cambria" w:hAnsi="Cambria" w:cs="Tahoma"/>
          <w:szCs w:val="24"/>
        </w:rPr>
        <w:t xml:space="preserve">, budući da se kolektivno i preventivno štite svi potrošači trgovca ili pružatelja usluga koji je zatražio mišljenje. Mada smo uvijek bili otvoreni za ovaj tip suradnje raduje nas ovaj trend porasta jer isti ukazuje i na stvaranje dobre poslovne prakse u skladu sa </w:t>
      </w:r>
      <w:r w:rsidR="00035E6E">
        <w:rPr>
          <w:rFonts w:ascii="Cambria" w:hAnsi="Cambria" w:cs="Tahoma"/>
          <w:szCs w:val="24"/>
        </w:rPr>
        <w:t>potrošačkom regulativom</w:t>
      </w:r>
      <w:r w:rsidR="00FA4EBF">
        <w:rPr>
          <w:rFonts w:ascii="Cambria" w:hAnsi="Cambria" w:cs="Tahoma"/>
          <w:szCs w:val="24"/>
        </w:rPr>
        <w:t>, a sve na inicijativu trgovaca i ostali pravnih subjekata.</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 xml:space="preserve">Institucija </w:t>
      </w:r>
      <w:proofErr w:type="spellStart"/>
      <w:r>
        <w:rPr>
          <w:rFonts w:ascii="Cambria" w:hAnsi="Cambria" w:cs="Tahoma"/>
          <w:szCs w:val="24"/>
        </w:rPr>
        <w:t>ombudsmana</w:t>
      </w:r>
      <w:proofErr w:type="spellEnd"/>
      <w:r>
        <w:rPr>
          <w:rFonts w:ascii="Cambria" w:hAnsi="Cambria" w:cs="Tahoma"/>
          <w:szCs w:val="24"/>
        </w:rPr>
        <w:t xml:space="preserve"> je u skladu sa Zakonom institucija načelno nadležna za sve potrošačke oblasti. U tom smislu rješavamo po žalbama u pojedinačnim predmetima, osim ako po istima nije pokrenu</w:t>
      </w:r>
      <w:r w:rsidR="000421E7">
        <w:rPr>
          <w:rFonts w:ascii="Cambria" w:hAnsi="Cambria" w:cs="Tahoma"/>
          <w:szCs w:val="24"/>
        </w:rPr>
        <w:t>t sudski postupak ili ako se nađ</w:t>
      </w:r>
      <w:r>
        <w:rPr>
          <w:rFonts w:ascii="Cambria" w:hAnsi="Cambria" w:cs="Tahoma"/>
          <w:szCs w:val="24"/>
        </w:rPr>
        <w:t xml:space="preserve">emo nenadležnima. </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Postupanja po žalbama obuhvaćaju kompleksnije pravne radnje, ispitivanje tržišta, upoznavanje sa stručnim specifikacijama vezenim za spornu uslugu ili predmet. Ovo postupanje stoga zahtjeva duže vremensko i intelektualno ulaganje.</w:t>
      </w:r>
      <w:r w:rsidR="00035E6E">
        <w:rPr>
          <w:rFonts w:ascii="Cambria" w:hAnsi="Cambria" w:cs="Tahoma"/>
          <w:szCs w:val="24"/>
        </w:rPr>
        <w:t xml:space="preserve"> U izvještajnom periodu bilježimo </w:t>
      </w:r>
      <w:r w:rsidR="00BD05FB">
        <w:rPr>
          <w:rFonts w:ascii="Cambria" w:hAnsi="Cambria" w:cs="Tahoma"/>
          <w:szCs w:val="24"/>
        </w:rPr>
        <w:t xml:space="preserve">veći broj žalbi </w:t>
      </w:r>
      <w:r w:rsidR="00035E6E">
        <w:rPr>
          <w:rFonts w:ascii="Cambria" w:hAnsi="Cambria" w:cs="Tahoma"/>
          <w:szCs w:val="24"/>
        </w:rPr>
        <w:t>od planiranog</w:t>
      </w:r>
      <w:r w:rsidR="00BD05FB">
        <w:rPr>
          <w:rFonts w:ascii="Cambria" w:hAnsi="Cambria" w:cs="Tahoma"/>
          <w:szCs w:val="24"/>
        </w:rPr>
        <w:t xml:space="preserve"> što ukazuje na povećanu vidljivost institucije u javnosti kao i </w:t>
      </w:r>
      <w:r w:rsidR="00F72BF9">
        <w:rPr>
          <w:rFonts w:ascii="Cambria" w:hAnsi="Cambria" w:cs="Tahoma"/>
          <w:szCs w:val="24"/>
        </w:rPr>
        <w:t xml:space="preserve">nažalost </w:t>
      </w:r>
      <w:r w:rsidR="00BD05FB">
        <w:rPr>
          <w:rFonts w:ascii="Cambria" w:hAnsi="Cambria" w:cs="Tahoma"/>
          <w:szCs w:val="24"/>
        </w:rPr>
        <w:t xml:space="preserve">povećanje </w:t>
      </w:r>
      <w:proofErr w:type="spellStart"/>
      <w:r w:rsidR="00F72BF9">
        <w:rPr>
          <w:rFonts w:ascii="Cambria" w:hAnsi="Cambria" w:cs="Tahoma"/>
          <w:szCs w:val="24"/>
        </w:rPr>
        <w:t>kršenjaprava</w:t>
      </w:r>
      <w:proofErr w:type="spellEnd"/>
      <w:r w:rsidR="00F72BF9">
        <w:rPr>
          <w:rFonts w:ascii="Cambria" w:hAnsi="Cambria" w:cs="Tahoma"/>
          <w:szCs w:val="24"/>
        </w:rPr>
        <w:t xml:space="preserve"> potrošača</w:t>
      </w:r>
      <w:r w:rsidR="00035E6E">
        <w:rPr>
          <w:rFonts w:ascii="Cambria" w:hAnsi="Cambria" w:cs="Tahoma"/>
          <w:szCs w:val="24"/>
        </w:rPr>
        <w:t xml:space="preserve">. </w:t>
      </w:r>
    </w:p>
    <w:p w:rsidR="00082701" w:rsidRDefault="00082701" w:rsidP="00B05D6E">
      <w:pPr>
        <w:autoSpaceDE w:val="0"/>
        <w:autoSpaceDN w:val="0"/>
        <w:adjustRightInd w:val="0"/>
        <w:spacing w:line="276" w:lineRule="auto"/>
        <w:jc w:val="both"/>
        <w:rPr>
          <w:rFonts w:ascii="Cambria" w:hAnsi="Cambria" w:cs="Tahoma"/>
          <w:szCs w:val="24"/>
        </w:rPr>
      </w:pPr>
    </w:p>
    <w:p w:rsidR="00082701" w:rsidRPr="000421E7" w:rsidRDefault="00082701" w:rsidP="00B05D6E">
      <w:pPr>
        <w:autoSpaceDE w:val="0"/>
        <w:autoSpaceDN w:val="0"/>
        <w:adjustRightInd w:val="0"/>
        <w:spacing w:line="276" w:lineRule="auto"/>
        <w:jc w:val="both"/>
        <w:rPr>
          <w:rFonts w:ascii="Cambria" w:hAnsi="Cambria" w:cs="Tahoma"/>
          <w:b/>
          <w:szCs w:val="24"/>
        </w:rPr>
      </w:pPr>
      <w:r w:rsidRPr="000421E7">
        <w:rPr>
          <w:rFonts w:ascii="Cambria" w:hAnsi="Cambria" w:cs="Tahoma"/>
          <w:b/>
          <w:szCs w:val="24"/>
        </w:rPr>
        <w:t>Kolektivni aspekt zaštita potrošača</w:t>
      </w:r>
    </w:p>
    <w:p w:rsidR="00082701" w:rsidRDefault="00F72BF9" w:rsidP="00B05D6E">
      <w:pPr>
        <w:autoSpaceDE w:val="0"/>
        <w:autoSpaceDN w:val="0"/>
        <w:adjustRightInd w:val="0"/>
        <w:spacing w:line="276" w:lineRule="auto"/>
        <w:jc w:val="both"/>
        <w:rPr>
          <w:rFonts w:ascii="Cambria" w:hAnsi="Cambria" w:cs="Tahoma"/>
          <w:szCs w:val="24"/>
        </w:rPr>
      </w:pPr>
      <w:r>
        <w:rPr>
          <w:rFonts w:ascii="Cambria" w:hAnsi="Cambria" w:cs="Tahoma"/>
          <w:szCs w:val="24"/>
        </w:rPr>
        <w:t>Naglasak u 2018</w:t>
      </w:r>
      <w:r w:rsidR="00082701">
        <w:rPr>
          <w:rFonts w:ascii="Cambria" w:hAnsi="Cambria" w:cs="Tahoma"/>
          <w:szCs w:val="24"/>
        </w:rPr>
        <w:t>. godini</w:t>
      </w:r>
      <w:r w:rsidR="00082701" w:rsidRPr="00EE720D">
        <w:rPr>
          <w:rFonts w:ascii="Cambria" w:hAnsi="Cambria" w:cs="Tahoma"/>
          <w:szCs w:val="24"/>
        </w:rPr>
        <w:t xml:space="preserve"> </w:t>
      </w:r>
      <w:r w:rsidR="00082701">
        <w:rPr>
          <w:rFonts w:ascii="Cambria" w:hAnsi="Cambria" w:cs="Tahoma"/>
          <w:szCs w:val="24"/>
        </w:rPr>
        <w:t xml:space="preserve">je bio </w:t>
      </w:r>
      <w:r w:rsidR="00082701" w:rsidRPr="00EE720D">
        <w:rPr>
          <w:rFonts w:ascii="Cambria" w:hAnsi="Cambria" w:cs="Tahoma"/>
          <w:szCs w:val="24"/>
        </w:rPr>
        <w:t>na kolektivnom aspektu zaštite potrošača</w:t>
      </w:r>
      <w:r w:rsidR="00082701">
        <w:rPr>
          <w:rFonts w:ascii="Cambria" w:hAnsi="Cambria" w:cs="Tahoma"/>
          <w:szCs w:val="24"/>
        </w:rPr>
        <w:t xml:space="preserve">. Kolektivna zaštita podrazumijeva takvo institucionalno postupanje čije posljedice ekonomski utječu na veći broj građana (npr. kućni savjet jedne zgrade), grupu ili kategoriju potrošača (npr. svi korisnici mobilne telefonije određenog telekom operatera). Postupanja u cilju zaštite kolektivnih interesa potrošača su ujedno i instrument osnaživanja pojedinih potrošačkih grupa kao i njihovog </w:t>
      </w:r>
      <w:proofErr w:type="spellStart"/>
      <w:r w:rsidR="00082701">
        <w:rPr>
          <w:rFonts w:ascii="Cambria" w:hAnsi="Cambria" w:cs="Tahoma"/>
          <w:szCs w:val="24"/>
        </w:rPr>
        <w:t>repozicioniranja</w:t>
      </w:r>
      <w:proofErr w:type="spellEnd"/>
      <w:r w:rsidR="00082701">
        <w:rPr>
          <w:rFonts w:ascii="Cambria" w:hAnsi="Cambria" w:cs="Tahoma"/>
          <w:szCs w:val="24"/>
        </w:rPr>
        <w:t xml:space="preserve"> na tržištu. Na taj način potrošači mogu bitno utjecati na promjenu uvjeta poslovanja tj. na trži</w:t>
      </w:r>
      <w:r w:rsidR="000421E7">
        <w:rPr>
          <w:rFonts w:ascii="Cambria" w:hAnsi="Cambria" w:cs="Tahoma"/>
          <w:szCs w:val="24"/>
        </w:rPr>
        <w:t>š</w:t>
      </w:r>
      <w:r w:rsidR="00082701">
        <w:rPr>
          <w:rFonts w:ascii="Cambria" w:hAnsi="Cambria" w:cs="Tahoma"/>
          <w:szCs w:val="24"/>
        </w:rPr>
        <w:t>na kretanja i konkurenciju.</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U tom smislu i zbog svega gore navedenog, a s obzirom na situaciju na tržištu potrošačkih roba  usluga, Institucija je imala više aktivnosti od planiranih u sljedećim oblastima:</w:t>
      </w:r>
    </w:p>
    <w:p w:rsidR="00082701" w:rsidRDefault="00082701" w:rsidP="00B05D6E">
      <w:pPr>
        <w:autoSpaceDE w:val="0"/>
        <w:autoSpaceDN w:val="0"/>
        <w:adjustRightInd w:val="0"/>
        <w:spacing w:line="276" w:lineRule="auto"/>
        <w:jc w:val="both"/>
        <w:rPr>
          <w:rFonts w:ascii="Cambria" w:hAnsi="Cambria" w:cs="Tahoma"/>
          <w:szCs w:val="24"/>
        </w:rPr>
      </w:pPr>
    </w:p>
    <w:p w:rsidR="008F1BFC" w:rsidRDefault="008F1BFC" w:rsidP="00082701">
      <w:pPr>
        <w:numPr>
          <w:ilvl w:val="0"/>
          <w:numId w:val="18"/>
        </w:numPr>
        <w:autoSpaceDE w:val="0"/>
        <w:autoSpaceDN w:val="0"/>
        <w:adjustRightInd w:val="0"/>
        <w:spacing w:line="276" w:lineRule="auto"/>
        <w:jc w:val="both"/>
        <w:rPr>
          <w:rFonts w:ascii="Cambria" w:hAnsi="Cambria" w:cs="Tahoma"/>
          <w:szCs w:val="24"/>
        </w:rPr>
      </w:pPr>
      <w:r>
        <w:rPr>
          <w:rFonts w:ascii="Cambria" w:hAnsi="Cambria" w:cs="Tahoma"/>
          <w:szCs w:val="24"/>
        </w:rPr>
        <w:t xml:space="preserve">Odgovori na upite medija – u izvještajnom periodu bilježimo veći broj medijskih pojavljivanja što ukazuje na </w:t>
      </w:r>
      <w:r w:rsidR="008E23E0">
        <w:rPr>
          <w:rFonts w:ascii="Cambria" w:hAnsi="Cambria" w:cs="Tahoma"/>
          <w:szCs w:val="24"/>
        </w:rPr>
        <w:t>povećanu vidljivost institucije u</w:t>
      </w:r>
      <w:r w:rsidR="00BB58FD">
        <w:rPr>
          <w:rFonts w:ascii="Cambria" w:hAnsi="Cambria" w:cs="Tahoma"/>
          <w:szCs w:val="24"/>
        </w:rPr>
        <w:t xml:space="preserve"> javnosti, izuz</w:t>
      </w:r>
      <w:r w:rsidR="00F72BF9">
        <w:rPr>
          <w:rFonts w:ascii="Cambria" w:hAnsi="Cambria" w:cs="Tahoma"/>
          <w:szCs w:val="24"/>
        </w:rPr>
        <w:t>etno dobru suradnju sa medijima te blagovremeno izvještavanje</w:t>
      </w:r>
      <w:r w:rsidR="00BB58FD">
        <w:rPr>
          <w:rFonts w:ascii="Cambria" w:hAnsi="Cambria" w:cs="Tahoma"/>
          <w:szCs w:val="24"/>
        </w:rPr>
        <w:t>.</w:t>
      </w:r>
    </w:p>
    <w:p w:rsidR="00082701" w:rsidRPr="00BE1199" w:rsidRDefault="00082701" w:rsidP="00082701">
      <w:pPr>
        <w:numPr>
          <w:ilvl w:val="0"/>
          <w:numId w:val="18"/>
        </w:numPr>
        <w:autoSpaceDE w:val="0"/>
        <w:autoSpaceDN w:val="0"/>
        <w:adjustRightInd w:val="0"/>
        <w:spacing w:line="276" w:lineRule="auto"/>
        <w:jc w:val="both"/>
        <w:rPr>
          <w:rFonts w:ascii="Cambria" w:hAnsi="Cambria" w:cs="Tahoma"/>
          <w:szCs w:val="24"/>
        </w:rPr>
      </w:pPr>
      <w:r w:rsidRPr="00BE1199">
        <w:rPr>
          <w:rFonts w:ascii="Cambria" w:hAnsi="Cambria" w:cs="Tahoma"/>
          <w:szCs w:val="24"/>
        </w:rPr>
        <w:t>Suradnja sa studentima</w:t>
      </w:r>
      <w:r w:rsidR="00BB58FD" w:rsidRPr="00BE1199">
        <w:rPr>
          <w:rFonts w:ascii="Cambria" w:hAnsi="Cambria" w:cs="Tahoma"/>
          <w:szCs w:val="24"/>
        </w:rPr>
        <w:t xml:space="preserve"> i obrazovnim institucijama</w:t>
      </w:r>
      <w:r w:rsidRPr="00BE1199">
        <w:rPr>
          <w:rFonts w:ascii="Cambria" w:hAnsi="Cambria" w:cs="Tahoma"/>
          <w:szCs w:val="24"/>
        </w:rPr>
        <w:t xml:space="preserve"> je također realizirana djelomično uz suradnju sa udruženjima potrošača. Studenti Pravnog fakulteta u Mostaru u okviru kolegija potrošačko pravo imali su priliku slušati o sustavu zaštite potrošača u BiH te o ulozi Institucije </w:t>
      </w:r>
      <w:proofErr w:type="spellStart"/>
      <w:r w:rsidRPr="00BE1199">
        <w:rPr>
          <w:rFonts w:ascii="Cambria" w:hAnsi="Cambria" w:cs="Tahoma"/>
          <w:szCs w:val="24"/>
        </w:rPr>
        <w:t>ombudsmana</w:t>
      </w:r>
      <w:proofErr w:type="spellEnd"/>
      <w:r w:rsidRPr="00BE1199">
        <w:rPr>
          <w:rFonts w:ascii="Cambria" w:hAnsi="Cambria" w:cs="Tahoma"/>
          <w:szCs w:val="24"/>
        </w:rPr>
        <w:t xml:space="preserve"> u istom. </w:t>
      </w:r>
    </w:p>
    <w:p w:rsidR="00082701" w:rsidRPr="00BE1199" w:rsidRDefault="00082701" w:rsidP="00082701">
      <w:pPr>
        <w:numPr>
          <w:ilvl w:val="0"/>
          <w:numId w:val="18"/>
        </w:numPr>
        <w:autoSpaceDE w:val="0"/>
        <w:autoSpaceDN w:val="0"/>
        <w:adjustRightInd w:val="0"/>
        <w:spacing w:line="276" w:lineRule="auto"/>
        <w:jc w:val="both"/>
        <w:rPr>
          <w:rFonts w:ascii="Cambria" w:hAnsi="Cambria" w:cs="Tahoma"/>
          <w:szCs w:val="24"/>
        </w:rPr>
      </w:pPr>
      <w:r w:rsidRPr="00BE1199">
        <w:rPr>
          <w:rFonts w:ascii="Cambria" w:hAnsi="Cambria" w:cs="Tahoma"/>
          <w:szCs w:val="24"/>
        </w:rPr>
        <w:t>Partnerstvo na projektima sa udruženjima potrošača</w:t>
      </w:r>
    </w:p>
    <w:p w:rsidR="00082701" w:rsidRPr="00BE1199" w:rsidRDefault="00082701" w:rsidP="00B05D6E">
      <w:pPr>
        <w:autoSpaceDE w:val="0"/>
        <w:autoSpaceDN w:val="0"/>
        <w:adjustRightInd w:val="0"/>
        <w:spacing w:line="276" w:lineRule="auto"/>
        <w:ind w:left="720"/>
        <w:jc w:val="both"/>
        <w:rPr>
          <w:rFonts w:ascii="Cambria" w:hAnsi="Cambria" w:cs="Tahoma"/>
          <w:szCs w:val="24"/>
        </w:rPr>
      </w:pPr>
      <w:r w:rsidRPr="00BE1199">
        <w:rPr>
          <w:rFonts w:ascii="Cambria" w:hAnsi="Cambria" w:cs="Tahoma"/>
          <w:szCs w:val="24"/>
        </w:rPr>
        <w:t>Temeljem zakonske obveze</w:t>
      </w:r>
      <w:r w:rsidRPr="00BE1199">
        <w:rPr>
          <w:rStyle w:val="Referencafusnote"/>
          <w:rFonts w:ascii="Cambria" w:hAnsi="Cambria" w:cs="Tahoma"/>
          <w:szCs w:val="24"/>
        </w:rPr>
        <w:footnoteReference w:id="2"/>
      </w:r>
      <w:r w:rsidR="00F72BF9" w:rsidRPr="00BE1199">
        <w:rPr>
          <w:rFonts w:ascii="Cambria" w:hAnsi="Cambria" w:cs="Tahoma"/>
          <w:szCs w:val="24"/>
        </w:rPr>
        <w:t xml:space="preserve"> tijekom 2018</w:t>
      </w:r>
      <w:r w:rsidRPr="00BE1199">
        <w:rPr>
          <w:rFonts w:ascii="Cambria" w:hAnsi="Cambria" w:cs="Tahoma"/>
          <w:szCs w:val="24"/>
        </w:rPr>
        <w:t xml:space="preserve">. također je realiziran plan suradnje sa udruženjima potrošača. Dinamika ove suradnje je u prvom redu određena postojanjem i izvršenjem projekata u kojima se onda Institucija </w:t>
      </w:r>
      <w:proofErr w:type="spellStart"/>
      <w:r w:rsidRPr="00BE1199">
        <w:rPr>
          <w:rFonts w:ascii="Cambria" w:hAnsi="Cambria" w:cs="Tahoma"/>
          <w:szCs w:val="24"/>
        </w:rPr>
        <w:t>ombudsmana</w:t>
      </w:r>
      <w:proofErr w:type="spellEnd"/>
      <w:r w:rsidRPr="00BE1199">
        <w:rPr>
          <w:rFonts w:ascii="Cambria" w:hAnsi="Cambria" w:cs="Tahoma"/>
          <w:szCs w:val="24"/>
        </w:rPr>
        <w:t xml:space="preserve"> pojavljuje kao suradnik i predstavnik vlasti u ovoj oblasti. U izvještajnom periodu udruženja koja su provodila određene projekte u okviru kojih se odvijala suradnja </w:t>
      </w:r>
      <w:r w:rsidRPr="00BE1199">
        <w:rPr>
          <w:rFonts w:ascii="Cambria" w:hAnsi="Cambria" w:cs="Tahoma"/>
          <w:szCs w:val="24"/>
        </w:rPr>
        <w:lastRenderedPageBreak/>
        <w:t xml:space="preserve">sa Institucijom </w:t>
      </w:r>
      <w:proofErr w:type="spellStart"/>
      <w:r w:rsidRPr="00BE1199">
        <w:rPr>
          <w:rFonts w:ascii="Cambria" w:hAnsi="Cambria" w:cs="Tahoma"/>
          <w:szCs w:val="24"/>
        </w:rPr>
        <w:t>ombudsmana</w:t>
      </w:r>
      <w:proofErr w:type="spellEnd"/>
      <w:r w:rsidRPr="00BE1199">
        <w:rPr>
          <w:rFonts w:ascii="Cambria" w:hAnsi="Cambria" w:cs="Tahoma"/>
          <w:szCs w:val="24"/>
        </w:rPr>
        <w:t xml:space="preserve"> su: </w:t>
      </w:r>
      <w:r w:rsidR="00F72BF9" w:rsidRPr="00BE1199">
        <w:rPr>
          <w:rFonts w:ascii="Cambria" w:hAnsi="Cambria" w:cs="Tahoma"/>
          <w:szCs w:val="24"/>
        </w:rPr>
        <w:t>Savjet potrošača Bosanskog-</w:t>
      </w:r>
      <w:proofErr w:type="spellStart"/>
      <w:r w:rsidR="00F72BF9" w:rsidRPr="00BE1199">
        <w:rPr>
          <w:rFonts w:ascii="Cambria" w:hAnsi="Cambria" w:cs="Tahoma"/>
          <w:szCs w:val="24"/>
        </w:rPr>
        <w:t>podrinjskog</w:t>
      </w:r>
      <w:proofErr w:type="spellEnd"/>
      <w:r w:rsidR="00F72BF9" w:rsidRPr="00BE1199">
        <w:rPr>
          <w:rFonts w:ascii="Cambria" w:hAnsi="Cambria" w:cs="Tahoma"/>
          <w:szCs w:val="24"/>
        </w:rPr>
        <w:t xml:space="preserve"> kantona </w:t>
      </w:r>
      <w:proofErr w:type="spellStart"/>
      <w:r w:rsidR="00F72BF9" w:rsidRPr="00BE1199">
        <w:rPr>
          <w:rFonts w:ascii="Cambria" w:hAnsi="Cambria" w:cs="Tahoma"/>
          <w:szCs w:val="24"/>
        </w:rPr>
        <w:t>Goražde</w:t>
      </w:r>
      <w:proofErr w:type="spellEnd"/>
      <w:r w:rsidRPr="00BE1199">
        <w:rPr>
          <w:rFonts w:ascii="Cambria" w:hAnsi="Cambria" w:cs="Tahoma"/>
          <w:szCs w:val="24"/>
        </w:rPr>
        <w:t xml:space="preserve">, </w:t>
      </w:r>
      <w:r w:rsidR="004B1E04" w:rsidRPr="00BE1199">
        <w:rPr>
          <w:rFonts w:ascii="Cambria" w:hAnsi="Cambria" w:cs="Tahoma"/>
          <w:szCs w:val="24"/>
        </w:rPr>
        <w:t xml:space="preserve">UG </w:t>
      </w:r>
      <w:proofErr w:type="spellStart"/>
      <w:r w:rsidR="004B1E04" w:rsidRPr="00BE1199">
        <w:rPr>
          <w:rFonts w:ascii="Cambria" w:hAnsi="Cambria" w:cs="Tahoma"/>
          <w:szCs w:val="24"/>
        </w:rPr>
        <w:t>ToPeer</w:t>
      </w:r>
      <w:proofErr w:type="spellEnd"/>
      <w:r w:rsidR="004B1E04" w:rsidRPr="00BE1199">
        <w:rPr>
          <w:rFonts w:ascii="Cambria" w:hAnsi="Cambria" w:cs="Tahoma"/>
          <w:szCs w:val="24"/>
        </w:rPr>
        <w:t xml:space="preserve"> </w:t>
      </w:r>
      <w:proofErr w:type="spellStart"/>
      <w:r w:rsidR="004B1E04" w:rsidRPr="00BE1199">
        <w:rPr>
          <w:rFonts w:ascii="Cambria" w:hAnsi="Cambria" w:cs="Tahoma"/>
          <w:szCs w:val="24"/>
        </w:rPr>
        <w:t>Doboj</w:t>
      </w:r>
      <w:proofErr w:type="spellEnd"/>
      <w:r w:rsidR="004B1E04" w:rsidRPr="00BE1199">
        <w:rPr>
          <w:rFonts w:ascii="Cambria" w:hAnsi="Cambria" w:cs="Tahoma"/>
          <w:szCs w:val="24"/>
        </w:rPr>
        <w:t xml:space="preserve">, </w:t>
      </w:r>
      <w:proofErr w:type="spellStart"/>
      <w:r w:rsidR="004B1E04" w:rsidRPr="00BE1199">
        <w:rPr>
          <w:rFonts w:ascii="Cambria" w:hAnsi="Cambria" w:cs="Tahoma"/>
          <w:szCs w:val="24"/>
        </w:rPr>
        <w:t>Udrženje</w:t>
      </w:r>
      <w:proofErr w:type="spellEnd"/>
      <w:r w:rsidR="004B1E04" w:rsidRPr="00BE1199">
        <w:rPr>
          <w:rFonts w:ascii="Cambria" w:hAnsi="Cambria" w:cs="Tahoma"/>
          <w:szCs w:val="24"/>
        </w:rPr>
        <w:t xml:space="preserve"> za zaštitu potrošača „Reakcija“ Banja Luka, </w:t>
      </w:r>
      <w:r w:rsidRPr="00BE1199">
        <w:rPr>
          <w:rFonts w:ascii="Cambria" w:hAnsi="Cambria" w:cs="Tahoma"/>
          <w:szCs w:val="24"/>
        </w:rPr>
        <w:t>UG „Futur</w:t>
      </w:r>
      <w:r w:rsidR="004C4E20" w:rsidRPr="00BE1199">
        <w:rPr>
          <w:rFonts w:ascii="Cambria" w:hAnsi="Cambria" w:cs="Tahoma"/>
          <w:szCs w:val="24"/>
        </w:rPr>
        <w:t xml:space="preserve">a“ Mostar te UP „Oaza“ </w:t>
      </w:r>
      <w:proofErr w:type="spellStart"/>
      <w:r w:rsidR="004C4E20" w:rsidRPr="00BE1199">
        <w:rPr>
          <w:rFonts w:ascii="Cambria" w:hAnsi="Cambria" w:cs="Tahoma"/>
          <w:szCs w:val="24"/>
        </w:rPr>
        <w:t>Trebinje</w:t>
      </w:r>
      <w:proofErr w:type="spellEnd"/>
      <w:r w:rsidR="005D5157" w:rsidRPr="00BE1199">
        <w:rPr>
          <w:rFonts w:ascii="Cambria" w:hAnsi="Cambria" w:cs="Tahoma"/>
          <w:szCs w:val="24"/>
        </w:rPr>
        <w:t>.</w:t>
      </w:r>
      <w:r w:rsidRPr="00BE1199">
        <w:rPr>
          <w:rFonts w:ascii="Cambria" w:hAnsi="Cambria" w:cs="Tahoma"/>
          <w:szCs w:val="24"/>
        </w:rPr>
        <w:t xml:space="preserve"> </w:t>
      </w:r>
    </w:p>
    <w:p w:rsidR="00082701" w:rsidRDefault="00082701" w:rsidP="00B05D6E">
      <w:pPr>
        <w:autoSpaceDE w:val="0"/>
        <w:autoSpaceDN w:val="0"/>
        <w:adjustRightInd w:val="0"/>
        <w:spacing w:line="276" w:lineRule="auto"/>
        <w:ind w:left="720"/>
        <w:jc w:val="both"/>
        <w:rPr>
          <w:rFonts w:ascii="Cambria" w:hAnsi="Cambria" w:cs="Tahoma"/>
          <w:szCs w:val="24"/>
        </w:rPr>
      </w:pPr>
    </w:p>
    <w:p w:rsidR="00082701" w:rsidRPr="002D3C7E" w:rsidRDefault="00082701" w:rsidP="00B05D6E">
      <w:pPr>
        <w:rPr>
          <w:rFonts w:ascii="Arial" w:hAnsi="Arial" w:cs="Arial"/>
          <w:lang w:val="bs-Latn-BA"/>
        </w:rPr>
      </w:pPr>
    </w:p>
    <w:p w:rsidR="00082701" w:rsidRPr="00BC2717" w:rsidRDefault="00082701" w:rsidP="00B05D6E">
      <w:pPr>
        <w:jc w:val="center"/>
        <w:rPr>
          <w:rFonts w:ascii="Cambria" w:hAnsi="Cambria" w:cs="Arial"/>
          <w:lang w:val="bs-Latn-BA"/>
        </w:rPr>
      </w:pP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BC2717">
        <w:rPr>
          <w:rFonts w:ascii="Cambria" w:hAnsi="Cambria" w:cs="Arial"/>
          <w:lang w:val="bs-Latn-BA"/>
        </w:rPr>
        <w:t xml:space="preserve">O M B U D S M A N </w:t>
      </w:r>
    </w:p>
    <w:p w:rsidR="00082701" w:rsidRPr="00BC2717" w:rsidRDefault="00082701" w:rsidP="00B05D6E">
      <w:pPr>
        <w:jc w:val="center"/>
        <w:rPr>
          <w:rFonts w:ascii="Cambria" w:hAnsi="Cambria" w:cs="Arial"/>
          <w:lang w:val="bs-Latn-BA"/>
        </w:rPr>
      </w:pPr>
      <w:r w:rsidRPr="00BC2717">
        <w:rPr>
          <w:rFonts w:ascii="Cambria" w:hAnsi="Cambria" w:cs="Arial"/>
          <w:lang w:val="bs-Latn-BA"/>
        </w:rPr>
        <w:t xml:space="preserve">    </w:t>
      </w:r>
    </w:p>
    <w:p w:rsidR="00082701" w:rsidRPr="00BC2717" w:rsidRDefault="00082701" w:rsidP="00B05D6E">
      <w:pPr>
        <w:jc w:val="center"/>
        <w:rPr>
          <w:rFonts w:ascii="Cambria" w:hAnsi="Cambria" w:cs="Arial"/>
          <w:lang w:val="bs-Latn-BA"/>
        </w:rPr>
      </w:pPr>
    </w:p>
    <w:p w:rsidR="00082701" w:rsidRPr="00BC2717" w:rsidRDefault="00082701" w:rsidP="00B05D6E">
      <w:pPr>
        <w:jc w:val="center"/>
        <w:rPr>
          <w:rFonts w:ascii="Cambria" w:hAnsi="Cambria" w:cs="Arial"/>
          <w:szCs w:val="24"/>
          <w:lang w:val="bs-Latn-BA"/>
        </w:rPr>
      </w:pPr>
      <w:r w:rsidRPr="00BC2717">
        <w:rPr>
          <w:rFonts w:ascii="Cambria" w:hAnsi="Cambria" w:cs="Arial"/>
          <w:lang w:val="bs-Latn-BA"/>
        </w:rPr>
        <w:tab/>
      </w:r>
      <w:r w:rsidRPr="00BC2717">
        <w:rPr>
          <w:rFonts w:ascii="Cambria" w:hAnsi="Cambria" w:cs="Arial"/>
          <w:lang w:val="bs-Latn-BA"/>
        </w:rPr>
        <w:tab/>
      </w:r>
      <w:r w:rsidRPr="00BC2717">
        <w:rPr>
          <w:rFonts w:ascii="Cambria" w:hAnsi="Cambria" w:cs="Arial"/>
          <w:lang w:val="bs-Latn-BA"/>
        </w:rPr>
        <w:tab/>
      </w:r>
      <w:r w:rsidRPr="00BC2717">
        <w:rPr>
          <w:rFonts w:ascii="Cambria" w:hAnsi="Cambria" w:cs="Arial"/>
          <w:lang w:val="bs-Latn-BA"/>
        </w:rPr>
        <w:tab/>
        <w:t xml:space="preserve">                  </w:t>
      </w:r>
      <w:r w:rsidRPr="00BC2717">
        <w:rPr>
          <w:rFonts w:ascii="Cambria" w:hAnsi="Cambria" w:cs="Arial"/>
          <w:lang w:val="bs-Latn-BA"/>
        </w:rPr>
        <w:tab/>
      </w:r>
      <w:r w:rsidRPr="00BC2717">
        <w:rPr>
          <w:rFonts w:ascii="Cambria" w:hAnsi="Cambria" w:cs="Arial"/>
          <w:lang w:val="bs-Latn-BA"/>
        </w:rPr>
        <w:tab/>
      </w:r>
      <w:r w:rsidRPr="00BC2717">
        <w:rPr>
          <w:rFonts w:ascii="Cambria" w:hAnsi="Cambria" w:cs="Arial"/>
          <w:lang w:val="bs-Latn-BA"/>
        </w:rPr>
        <w:tab/>
      </w:r>
      <w:r w:rsidRPr="00BC2717">
        <w:rPr>
          <w:rFonts w:ascii="Cambria" w:hAnsi="Cambria" w:cs="Arial"/>
          <w:lang w:val="bs-Latn-BA"/>
        </w:rPr>
        <w:tab/>
        <w:t>Dragan Doko</w:t>
      </w:r>
    </w:p>
    <w:p w:rsidR="00082701" w:rsidRPr="002E52DA" w:rsidRDefault="00082701" w:rsidP="00B05D6E">
      <w:pPr>
        <w:rPr>
          <w:rFonts w:ascii="Cambria" w:hAnsi="Cambria"/>
          <w:i/>
          <w:sz w:val="22"/>
          <w:szCs w:val="22"/>
        </w:rPr>
      </w:pPr>
    </w:p>
    <w:p w:rsidR="00082701" w:rsidRDefault="00082701" w:rsidP="00B05D6E">
      <w:pPr>
        <w:rPr>
          <w:rFonts w:ascii="Cambria" w:hAnsi="Cambria"/>
          <w:i/>
          <w:sz w:val="22"/>
          <w:szCs w:val="22"/>
        </w:rPr>
      </w:pPr>
    </w:p>
    <w:p w:rsidR="00082701" w:rsidRPr="00FF592D" w:rsidRDefault="00082701" w:rsidP="00B05D6E">
      <w:pPr>
        <w:rPr>
          <w:rFonts w:ascii="Cambria" w:hAnsi="Cambria"/>
          <w:i/>
          <w:color w:val="FF0000"/>
          <w:sz w:val="22"/>
          <w:szCs w:val="22"/>
        </w:rPr>
      </w:pPr>
    </w:p>
    <w:p w:rsidR="00082701" w:rsidRPr="000421E7" w:rsidRDefault="00082701" w:rsidP="00B05D6E">
      <w:pPr>
        <w:rPr>
          <w:rFonts w:ascii="Cambria" w:hAnsi="Cambria"/>
          <w:i/>
          <w:sz w:val="22"/>
          <w:szCs w:val="22"/>
        </w:rPr>
      </w:pPr>
      <w:r w:rsidRPr="000421E7">
        <w:rPr>
          <w:rFonts w:ascii="Cambria" w:hAnsi="Cambria"/>
          <w:i/>
          <w:sz w:val="22"/>
          <w:szCs w:val="22"/>
        </w:rPr>
        <w:t xml:space="preserve">Prilozi: </w:t>
      </w:r>
    </w:p>
    <w:p w:rsidR="00082701" w:rsidRPr="00F770FD" w:rsidRDefault="00082701" w:rsidP="000421E7">
      <w:pPr>
        <w:numPr>
          <w:ilvl w:val="0"/>
          <w:numId w:val="11"/>
        </w:numPr>
        <w:rPr>
          <w:rFonts w:ascii="Cambria" w:hAnsi="Cambria"/>
          <w:i/>
          <w:sz w:val="22"/>
          <w:szCs w:val="22"/>
        </w:rPr>
      </w:pPr>
      <w:r w:rsidRPr="000421E7">
        <w:rPr>
          <w:rFonts w:ascii="Cambria" w:hAnsi="Cambria"/>
          <w:i/>
          <w:sz w:val="22"/>
          <w:szCs w:val="22"/>
        </w:rPr>
        <w:t xml:space="preserve">Tabelarni pregled </w:t>
      </w:r>
      <w:r w:rsidR="00F54575">
        <w:rPr>
          <w:rFonts w:ascii="Cambria" w:hAnsi="Cambria"/>
          <w:i/>
          <w:sz w:val="22"/>
          <w:szCs w:val="22"/>
        </w:rPr>
        <w:t>prijedloga Izvješća</w:t>
      </w:r>
      <w:r w:rsidR="005D5157">
        <w:rPr>
          <w:rFonts w:ascii="Cambria" w:hAnsi="Cambria"/>
          <w:i/>
          <w:sz w:val="22"/>
          <w:szCs w:val="22"/>
        </w:rPr>
        <w:t xml:space="preserve"> o radu institucije za 2017</w:t>
      </w:r>
      <w:r w:rsidR="000421E7" w:rsidRPr="000421E7">
        <w:rPr>
          <w:rFonts w:ascii="Cambria" w:hAnsi="Cambria"/>
          <w:i/>
          <w:sz w:val="22"/>
          <w:szCs w:val="22"/>
        </w:rPr>
        <w:t>. godinu (obrazac 2)</w:t>
      </w:r>
      <w:bookmarkEnd w:id="0"/>
      <w:bookmarkEnd w:id="1"/>
      <w:bookmarkEnd w:id="2"/>
      <w:r w:rsidR="00F770FD">
        <w:rPr>
          <w:rFonts w:ascii="Cambria" w:hAnsi="Cambria"/>
          <w:i/>
          <w:sz w:val="22"/>
          <w:szCs w:val="22"/>
        </w:rPr>
        <w:t>,</w:t>
      </w:r>
    </w:p>
    <w:p w:rsidR="00F770FD" w:rsidRDefault="00F770FD" w:rsidP="000421E7">
      <w:pPr>
        <w:numPr>
          <w:ilvl w:val="0"/>
          <w:numId w:val="11"/>
        </w:numPr>
        <w:rPr>
          <w:rFonts w:ascii="Cambria" w:hAnsi="Cambria"/>
          <w:i/>
          <w:sz w:val="22"/>
          <w:szCs w:val="22"/>
        </w:rPr>
      </w:pPr>
      <w:r>
        <w:rPr>
          <w:rFonts w:ascii="Cambria" w:hAnsi="Cambria"/>
          <w:i/>
          <w:sz w:val="22"/>
          <w:szCs w:val="22"/>
        </w:rPr>
        <w:t>Izvješće o provedenim konzultacijama kod izrade godišnjeg izvješća o radu.</w:t>
      </w:r>
    </w:p>
    <w:p w:rsidR="00F770FD" w:rsidRPr="00F770FD" w:rsidRDefault="00F770FD" w:rsidP="00F770FD">
      <w:pPr>
        <w:rPr>
          <w:rFonts w:ascii="Cambria" w:hAnsi="Cambria"/>
          <w:sz w:val="22"/>
          <w:szCs w:val="22"/>
        </w:rPr>
      </w:pPr>
    </w:p>
    <w:p w:rsidR="00F770FD" w:rsidRPr="00F770FD" w:rsidRDefault="00F770FD" w:rsidP="00F770FD">
      <w:pPr>
        <w:rPr>
          <w:rFonts w:ascii="Cambria" w:hAnsi="Cambria"/>
          <w:sz w:val="22"/>
          <w:szCs w:val="22"/>
        </w:rPr>
      </w:pPr>
    </w:p>
    <w:p w:rsidR="00F770FD" w:rsidRPr="00F770FD" w:rsidRDefault="00F770FD" w:rsidP="00F770FD">
      <w:pPr>
        <w:rPr>
          <w:rFonts w:ascii="Cambria" w:hAnsi="Cambria"/>
          <w:sz w:val="22"/>
          <w:szCs w:val="22"/>
        </w:rPr>
      </w:pPr>
    </w:p>
    <w:p w:rsidR="00F770FD" w:rsidRPr="00F770FD" w:rsidRDefault="00F770FD" w:rsidP="00F770FD">
      <w:pPr>
        <w:rPr>
          <w:rFonts w:ascii="Cambria" w:hAnsi="Cambria"/>
          <w:sz w:val="22"/>
          <w:szCs w:val="22"/>
        </w:rPr>
      </w:pPr>
    </w:p>
    <w:p w:rsidR="00F770FD" w:rsidRPr="00F770FD" w:rsidRDefault="00F770FD" w:rsidP="00F770FD">
      <w:pPr>
        <w:rPr>
          <w:rFonts w:ascii="Cambria" w:hAnsi="Cambria"/>
          <w:sz w:val="22"/>
          <w:szCs w:val="22"/>
        </w:rPr>
      </w:pPr>
    </w:p>
    <w:p w:rsidR="00F770FD" w:rsidRDefault="00F770FD" w:rsidP="00F770FD">
      <w:pPr>
        <w:rPr>
          <w:rFonts w:ascii="Cambria" w:hAnsi="Cambria"/>
          <w:sz w:val="22"/>
          <w:szCs w:val="22"/>
        </w:rPr>
      </w:pPr>
    </w:p>
    <w:p w:rsidR="00F23CC3" w:rsidRDefault="00F23CC3" w:rsidP="00F770FD">
      <w:pPr>
        <w:rPr>
          <w:rFonts w:ascii="Cambria" w:hAnsi="Cambria"/>
          <w:sz w:val="22"/>
          <w:szCs w:val="22"/>
        </w:rPr>
        <w:sectPr w:rsidR="00F23CC3" w:rsidSect="00DF5036">
          <w:pgSz w:w="12071" w:h="16838"/>
          <w:pgMar w:top="1418" w:right="1418" w:bottom="1418" w:left="1418" w:header="709" w:footer="709" w:gutter="0"/>
          <w:cols w:space="708"/>
          <w:docGrid w:linePitch="360"/>
        </w:sectPr>
      </w:pPr>
      <w:bookmarkStart w:id="3" w:name="_GoBack"/>
      <w:bookmarkEnd w:id="3"/>
    </w:p>
    <w:tbl>
      <w:tblPr>
        <w:tblW w:w="5000" w:type="pct"/>
        <w:tblLook w:val="04A0" w:firstRow="1" w:lastRow="0" w:firstColumn="1" w:lastColumn="0" w:noHBand="0" w:noVBand="1"/>
      </w:tblPr>
      <w:tblGrid>
        <w:gridCol w:w="2569"/>
        <w:gridCol w:w="1399"/>
        <w:gridCol w:w="1241"/>
        <w:gridCol w:w="742"/>
        <w:gridCol w:w="742"/>
        <w:gridCol w:w="843"/>
        <w:gridCol w:w="1122"/>
        <w:gridCol w:w="1119"/>
        <w:gridCol w:w="1119"/>
        <w:gridCol w:w="742"/>
        <w:gridCol w:w="744"/>
        <w:gridCol w:w="1600"/>
      </w:tblGrid>
      <w:tr w:rsidR="00A314FB" w:rsidRPr="00A314FB" w:rsidTr="00A314FB">
        <w:trPr>
          <w:trHeight w:val="675"/>
        </w:trPr>
        <w:tc>
          <w:tcPr>
            <w:tcW w:w="5000" w:type="pct"/>
            <w:gridSpan w:val="12"/>
            <w:tcBorders>
              <w:top w:val="single" w:sz="8" w:space="0" w:color="auto"/>
              <w:left w:val="single" w:sz="8" w:space="0" w:color="auto"/>
              <w:bottom w:val="single" w:sz="8" w:space="0" w:color="auto"/>
              <w:right w:val="single" w:sz="8" w:space="0" w:color="000000"/>
            </w:tcBorders>
            <w:shd w:val="clear" w:color="000000" w:fill="76933C"/>
            <w:vAlign w:val="center"/>
            <w:hideMark/>
          </w:tcPr>
          <w:p w:rsidR="00A314FB" w:rsidRPr="00A314FB" w:rsidRDefault="00A314FB" w:rsidP="00A314FB">
            <w:pPr>
              <w:rPr>
                <w:rFonts w:ascii="Arial" w:hAnsi="Arial" w:cs="Arial"/>
                <w:b/>
                <w:bCs/>
                <w:sz w:val="22"/>
                <w:szCs w:val="22"/>
                <w:lang w:val="en-GB" w:eastAsia="en-GB"/>
              </w:rPr>
            </w:pPr>
            <w:bookmarkStart w:id="4" w:name="RANGE!A1:L27"/>
            <w:r w:rsidRPr="00A314FB">
              <w:rPr>
                <w:rFonts w:ascii="Arial" w:hAnsi="Arial" w:cs="Arial"/>
                <w:b/>
                <w:bCs/>
                <w:sz w:val="22"/>
                <w:szCs w:val="22"/>
                <w:lang w:val="en-GB" w:eastAsia="en-GB"/>
              </w:rPr>
              <w:lastRenderedPageBreak/>
              <w:t xml:space="preserve">II - IZVJEŠTAJ O PROVOĐENJU AKCIONOG PLANA PREDVIĐENOG GODIŠNJIM PROGRAMOM RADA - </w:t>
            </w:r>
            <w:proofErr w:type="spellStart"/>
            <w:r w:rsidRPr="00A314FB">
              <w:rPr>
                <w:rFonts w:ascii="Arial" w:hAnsi="Arial" w:cs="Arial"/>
                <w:b/>
                <w:bCs/>
                <w:sz w:val="22"/>
                <w:szCs w:val="22"/>
                <w:lang w:val="en-GB" w:eastAsia="en-GB"/>
              </w:rPr>
              <w:t>Institucija</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ombudsmana</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za</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zaštitu</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potrošača</w:t>
            </w:r>
            <w:proofErr w:type="spellEnd"/>
            <w:r w:rsidRPr="00A314FB">
              <w:rPr>
                <w:rFonts w:ascii="Arial" w:hAnsi="Arial" w:cs="Arial"/>
                <w:b/>
                <w:bCs/>
                <w:sz w:val="22"/>
                <w:szCs w:val="22"/>
                <w:lang w:val="en-GB" w:eastAsia="en-GB"/>
              </w:rPr>
              <w:t xml:space="preserve"> u </w:t>
            </w:r>
            <w:proofErr w:type="spellStart"/>
            <w:r w:rsidRPr="00A314FB">
              <w:rPr>
                <w:rFonts w:ascii="Arial" w:hAnsi="Arial" w:cs="Arial"/>
                <w:b/>
                <w:bCs/>
                <w:sz w:val="22"/>
                <w:szCs w:val="22"/>
                <w:lang w:val="en-GB" w:eastAsia="en-GB"/>
              </w:rPr>
              <w:t>BiH</w:t>
            </w:r>
            <w:bookmarkEnd w:id="4"/>
            <w:proofErr w:type="spellEnd"/>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Opći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w:t>
            </w:r>
            <w:proofErr w:type="spellStart"/>
            <w:r w:rsidRPr="00A314FB">
              <w:rPr>
                <w:rFonts w:ascii="Arial" w:hAnsi="Arial" w:cs="Arial"/>
                <w:b/>
                <w:bCs/>
                <w:sz w:val="18"/>
                <w:szCs w:val="18"/>
                <w:lang w:val="en-GB" w:eastAsia="en-GB"/>
              </w:rPr>
              <w:t>načela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razvitka</w:t>
            </w:r>
            <w:proofErr w:type="spellEnd"/>
            <w:r w:rsidRPr="00A314FB">
              <w:rPr>
                <w:rFonts w:ascii="Arial" w:hAnsi="Arial" w:cs="Arial"/>
                <w:b/>
                <w:bCs/>
                <w:sz w:val="18"/>
                <w:szCs w:val="18"/>
                <w:lang w:val="en-GB" w:eastAsia="en-GB"/>
              </w:rPr>
              <w:t>: INTEGRIRANI RAST</w:t>
            </w:r>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Strateški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Unaprijediti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razvoj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konkurentnog</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ekonomskog</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okruženja</w:t>
            </w:r>
            <w:proofErr w:type="spellEnd"/>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Srednjoročni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Unaprjeđenje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zaštite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potrošača</w:t>
            </w:r>
            <w:proofErr w:type="spellEnd"/>
          </w:p>
        </w:tc>
      </w:tr>
      <w:tr w:rsidR="00A314FB" w:rsidRPr="00A314FB" w:rsidTr="00A314FB">
        <w:trPr>
          <w:trHeight w:val="255"/>
        </w:trPr>
        <w:tc>
          <w:tcPr>
            <w:tcW w:w="5000" w:type="pct"/>
            <w:gridSpan w:val="12"/>
            <w:tcBorders>
              <w:top w:val="nil"/>
              <w:left w:val="single" w:sz="8" w:space="0" w:color="auto"/>
              <w:bottom w:val="single" w:sz="8"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Specifični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Unaprjeđenje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pojedinačne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kolektivne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zaštite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institucionalne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suradnje</w:t>
            </w:r>
            <w:proofErr w:type="spellEnd"/>
            <w:r w:rsidRPr="00A314FB">
              <w:rPr>
                <w:rFonts w:ascii="Arial" w:hAnsi="Arial" w:cs="Arial"/>
                <w:b/>
                <w:bCs/>
                <w:sz w:val="18"/>
                <w:szCs w:val="18"/>
                <w:lang w:val="en-GB" w:eastAsia="en-GB"/>
              </w:rPr>
              <w:t xml:space="preserve"> s </w:t>
            </w:r>
            <w:proofErr w:type="spellStart"/>
            <w:r w:rsidRPr="00A314FB">
              <w:rPr>
                <w:rFonts w:ascii="Arial" w:hAnsi="Arial" w:cs="Arial"/>
                <w:b/>
                <w:bCs/>
                <w:sz w:val="18"/>
                <w:szCs w:val="18"/>
                <w:lang w:val="en-GB" w:eastAsia="en-GB"/>
              </w:rPr>
              <w:t>ostalim</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nositeljima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zaštite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potrošača</w:t>
            </w:r>
            <w:proofErr w:type="spellEnd"/>
            <w:r w:rsidRPr="00A314FB">
              <w:rPr>
                <w:rFonts w:ascii="Arial" w:hAnsi="Arial" w:cs="Arial"/>
                <w:b/>
                <w:bCs/>
                <w:sz w:val="18"/>
                <w:szCs w:val="18"/>
                <w:lang w:val="en-GB" w:eastAsia="en-GB"/>
              </w:rPr>
              <w:t xml:space="preserve"> </w:t>
            </w:r>
          </w:p>
        </w:tc>
      </w:tr>
      <w:tr w:rsidR="00A314FB" w:rsidRPr="00A314FB" w:rsidTr="00A314FB">
        <w:trPr>
          <w:trHeight w:val="255"/>
        </w:trPr>
        <w:tc>
          <w:tcPr>
            <w:tcW w:w="936" w:type="pct"/>
            <w:vMerge w:val="restart"/>
            <w:tcBorders>
              <w:top w:val="nil"/>
              <w:left w:val="single" w:sz="8" w:space="0" w:color="auto"/>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Programi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projekti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aktivnosti</w:t>
            </w:r>
            <w:proofErr w:type="spellEnd"/>
          </w:p>
        </w:tc>
        <w:tc>
          <w:tcPr>
            <w:tcW w:w="430" w:type="pct"/>
            <w:vMerge w:val="restart"/>
            <w:tcBorders>
              <w:top w:val="nil"/>
              <w:left w:val="single" w:sz="4" w:space="0" w:color="auto"/>
              <w:bottom w:val="nil"/>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Nosilac</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aktivnosti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organizaciona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jedinica</w:t>
            </w:r>
            <w:proofErr w:type="spellEnd"/>
            <w:r w:rsidRPr="00A314FB">
              <w:rPr>
                <w:rFonts w:ascii="Arial" w:hAnsi="Arial" w:cs="Arial"/>
                <w:sz w:val="18"/>
                <w:szCs w:val="18"/>
                <w:lang w:val="en-GB" w:eastAsia="en-GB"/>
              </w:rPr>
              <w:t>)</w:t>
            </w:r>
          </w:p>
        </w:tc>
        <w:tc>
          <w:tcPr>
            <w:tcW w:w="1228" w:type="pct"/>
            <w:gridSpan w:val="4"/>
            <w:tcBorders>
              <w:top w:val="single" w:sz="8" w:space="0" w:color="auto"/>
              <w:left w:val="nil"/>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Pokazatelji</w:t>
            </w:r>
            <w:proofErr w:type="spellEnd"/>
          </w:p>
        </w:tc>
        <w:tc>
          <w:tcPr>
            <w:tcW w:w="1252" w:type="pct"/>
            <w:gridSpan w:val="3"/>
            <w:tcBorders>
              <w:top w:val="single" w:sz="8" w:space="0" w:color="auto"/>
              <w:left w:val="nil"/>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Izvori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finansiranja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troškovi</w:t>
            </w:r>
            <w:proofErr w:type="spellEnd"/>
          </w:p>
        </w:tc>
        <w:tc>
          <w:tcPr>
            <w:tcW w:w="565" w:type="pct"/>
            <w:gridSpan w:val="2"/>
            <w:tcBorders>
              <w:top w:val="single" w:sz="8" w:space="0" w:color="auto"/>
              <w:left w:val="nil"/>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Vrijeme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provođenja</w:t>
            </w:r>
            <w:proofErr w:type="spellEnd"/>
          </w:p>
        </w:tc>
        <w:tc>
          <w:tcPr>
            <w:tcW w:w="590" w:type="pct"/>
            <w:vMerge w:val="restart"/>
            <w:tcBorders>
              <w:top w:val="nil"/>
              <w:left w:val="single" w:sz="4" w:space="0" w:color="auto"/>
              <w:bottom w:val="single" w:sz="4" w:space="0" w:color="auto"/>
              <w:right w:val="single" w:sz="8"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Komentar</w:t>
            </w:r>
            <w:proofErr w:type="spellEnd"/>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Jedinica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mjerenja</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broj</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ili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opisno</w:t>
            </w:r>
            <w:proofErr w:type="spellEnd"/>
            <w:r w:rsidRPr="00A314FB">
              <w:rPr>
                <w:rFonts w:ascii="Arial" w:hAnsi="Arial" w:cs="Arial"/>
                <w:sz w:val="18"/>
                <w:szCs w:val="18"/>
                <w:lang w:val="en-GB" w:eastAsia="en-GB"/>
              </w:rPr>
              <w:t>)</w:t>
            </w:r>
          </w:p>
        </w:tc>
        <w:tc>
          <w:tcPr>
            <w:tcW w:w="282"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Polazna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vrijednost</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(n)</w:t>
            </w:r>
          </w:p>
        </w:tc>
        <w:tc>
          <w:tcPr>
            <w:tcW w:w="282"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Ciljana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vrijednost</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(n+1)</w:t>
            </w:r>
          </w:p>
        </w:tc>
        <w:tc>
          <w:tcPr>
            <w:tcW w:w="283"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Ostvarena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vrijednost</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proofErr w:type="spellStart"/>
            <w:r w:rsidRPr="00A314FB">
              <w:rPr>
                <w:rFonts w:ascii="Arial" w:hAnsi="Arial" w:cs="Arial"/>
                <w:b/>
                <w:bCs/>
                <w:sz w:val="18"/>
                <w:szCs w:val="18"/>
                <w:lang w:val="en-GB" w:eastAsia="en-GB"/>
              </w:rPr>
              <w:t>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kraju</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godine</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(n+1)</w:t>
            </w:r>
          </w:p>
        </w:tc>
        <w:tc>
          <w:tcPr>
            <w:tcW w:w="418"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Izvori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fnansiranja</w:t>
            </w:r>
            <w:proofErr w:type="spellEnd"/>
            <w:r w:rsidRPr="00A314FB">
              <w:rPr>
                <w:rFonts w:ascii="Arial" w:hAnsi="Arial" w:cs="Arial"/>
                <w:b/>
                <w:bCs/>
                <w:sz w:val="18"/>
                <w:szCs w:val="18"/>
                <w:lang w:val="en-GB" w:eastAsia="en-GB"/>
              </w:rPr>
              <w:br/>
            </w:r>
            <w:r w:rsidRPr="00A314FB">
              <w:rPr>
                <w:rFonts w:ascii="Arial" w:hAnsi="Arial" w:cs="Arial"/>
                <w:sz w:val="18"/>
                <w:szCs w:val="18"/>
                <w:lang w:val="en-GB" w:eastAsia="en-GB"/>
              </w:rPr>
              <w:t>(</w:t>
            </w:r>
            <w:proofErr w:type="spellStart"/>
            <w:r w:rsidRPr="00A314FB">
              <w:rPr>
                <w:rFonts w:ascii="Arial" w:hAnsi="Arial" w:cs="Arial"/>
                <w:sz w:val="18"/>
                <w:szCs w:val="18"/>
                <w:lang w:val="en-GB" w:eastAsia="en-GB"/>
              </w:rPr>
              <w:t>budžet</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krediti</w:t>
            </w:r>
            <w:proofErr w:type="spellEnd"/>
            <w:r w:rsidRPr="00A314FB">
              <w:rPr>
                <w:rFonts w:ascii="Arial" w:hAnsi="Arial" w:cs="Arial"/>
                <w:sz w:val="18"/>
                <w:szCs w:val="18"/>
                <w:lang w:val="en-GB" w:eastAsia="en-GB"/>
              </w:rPr>
              <w:t xml:space="preserve">, </w:t>
            </w:r>
            <w:r w:rsidRPr="00A314FB">
              <w:rPr>
                <w:rFonts w:ascii="Arial" w:hAnsi="Arial" w:cs="Arial"/>
                <w:sz w:val="18"/>
                <w:szCs w:val="18"/>
                <w:lang w:val="en-GB" w:eastAsia="en-GB"/>
              </w:rPr>
              <w:br/>
            </w:r>
            <w:proofErr w:type="spellStart"/>
            <w:r w:rsidRPr="00A314FB">
              <w:rPr>
                <w:rFonts w:ascii="Arial" w:hAnsi="Arial" w:cs="Arial"/>
                <w:sz w:val="18"/>
                <w:szCs w:val="18"/>
                <w:lang w:val="en-GB" w:eastAsia="en-GB"/>
              </w:rPr>
              <w:t>donacije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ostalo</w:t>
            </w:r>
            <w:proofErr w:type="spellEnd"/>
            <w:r w:rsidRPr="00A314FB">
              <w:rPr>
                <w:rFonts w:ascii="Arial" w:hAnsi="Arial" w:cs="Arial"/>
                <w:sz w:val="18"/>
                <w:szCs w:val="18"/>
                <w:lang w:val="en-GB" w:eastAsia="en-GB"/>
              </w:rPr>
              <w:t>)</w:t>
            </w:r>
            <w:r w:rsidRPr="00A314FB">
              <w:rPr>
                <w:rFonts w:ascii="Arial" w:hAnsi="Arial" w:cs="Arial"/>
                <w:b/>
                <w:bCs/>
                <w:sz w:val="18"/>
                <w:szCs w:val="18"/>
                <w:lang w:val="en-GB" w:eastAsia="en-GB"/>
              </w:rPr>
              <w:t xml:space="preserve">  </w:t>
            </w:r>
          </w:p>
        </w:tc>
        <w:tc>
          <w:tcPr>
            <w:tcW w:w="417"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Planirani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troškovi</w:t>
            </w:r>
            <w:proofErr w:type="spellEnd"/>
          </w:p>
        </w:tc>
        <w:tc>
          <w:tcPr>
            <w:tcW w:w="417"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Ostvareni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troškovi</w:t>
            </w:r>
            <w:proofErr w:type="spellEnd"/>
          </w:p>
        </w:tc>
        <w:tc>
          <w:tcPr>
            <w:tcW w:w="282"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Planirani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kvartal</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proofErr w:type="spellStart"/>
            <w:r w:rsidRPr="00A314FB">
              <w:rPr>
                <w:rFonts w:ascii="Arial" w:hAnsi="Arial" w:cs="Arial"/>
                <w:b/>
                <w:bCs/>
                <w:sz w:val="18"/>
                <w:szCs w:val="18"/>
                <w:lang w:val="en-GB" w:eastAsia="en-GB"/>
              </w:rPr>
              <w:t>za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provođenje</w:t>
            </w:r>
            <w:proofErr w:type="spellEnd"/>
          </w:p>
        </w:tc>
        <w:tc>
          <w:tcPr>
            <w:tcW w:w="282"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Kvartal</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kada</w:t>
            </w:r>
            <w:proofErr w:type="spellEnd"/>
            <w:r w:rsidRPr="00A314FB">
              <w:rPr>
                <w:rFonts w:ascii="Arial" w:hAnsi="Arial" w:cs="Arial"/>
                <w:b/>
                <w:bCs/>
                <w:sz w:val="18"/>
                <w:szCs w:val="18"/>
                <w:lang w:val="en-GB" w:eastAsia="en-GB"/>
              </w:rPr>
              <w:t xml:space="preserve"> je </w:t>
            </w:r>
            <w:r w:rsidRPr="00A314FB">
              <w:rPr>
                <w:rFonts w:ascii="Arial" w:hAnsi="Arial" w:cs="Arial"/>
                <w:b/>
                <w:bCs/>
                <w:sz w:val="18"/>
                <w:szCs w:val="18"/>
                <w:lang w:val="en-GB" w:eastAsia="en-GB"/>
              </w:rPr>
              <w:br/>
            </w:r>
            <w:proofErr w:type="spellStart"/>
            <w:r w:rsidRPr="00A314FB">
              <w:rPr>
                <w:rFonts w:ascii="Arial" w:hAnsi="Arial" w:cs="Arial"/>
                <w:b/>
                <w:bCs/>
                <w:sz w:val="18"/>
                <w:szCs w:val="18"/>
                <w:lang w:val="en-GB" w:eastAsia="en-GB"/>
              </w:rPr>
              <w:t>aktivnost</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provedena</w:t>
            </w:r>
            <w:proofErr w:type="spellEnd"/>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3"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8"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3"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8"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3"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8"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3"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8"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3"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8"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3"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8"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3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8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3"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8"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8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90"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314FB">
        <w:trPr>
          <w:trHeight w:val="255"/>
        </w:trPr>
        <w:tc>
          <w:tcPr>
            <w:tcW w:w="936"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w:t>
            </w:r>
          </w:p>
        </w:tc>
        <w:tc>
          <w:tcPr>
            <w:tcW w:w="430"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2</w:t>
            </w:r>
          </w:p>
        </w:tc>
        <w:tc>
          <w:tcPr>
            <w:tcW w:w="381"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3</w:t>
            </w:r>
          </w:p>
        </w:tc>
        <w:tc>
          <w:tcPr>
            <w:tcW w:w="282"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4</w:t>
            </w:r>
          </w:p>
        </w:tc>
        <w:tc>
          <w:tcPr>
            <w:tcW w:w="282"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5</w:t>
            </w:r>
          </w:p>
        </w:tc>
        <w:tc>
          <w:tcPr>
            <w:tcW w:w="283"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6</w:t>
            </w:r>
          </w:p>
        </w:tc>
        <w:tc>
          <w:tcPr>
            <w:tcW w:w="418"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7</w:t>
            </w:r>
          </w:p>
        </w:tc>
        <w:tc>
          <w:tcPr>
            <w:tcW w:w="417"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8</w:t>
            </w:r>
          </w:p>
        </w:tc>
        <w:tc>
          <w:tcPr>
            <w:tcW w:w="417"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9</w:t>
            </w:r>
          </w:p>
        </w:tc>
        <w:tc>
          <w:tcPr>
            <w:tcW w:w="282"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10</w:t>
            </w:r>
          </w:p>
        </w:tc>
        <w:tc>
          <w:tcPr>
            <w:tcW w:w="282"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11</w:t>
            </w:r>
          </w:p>
        </w:tc>
        <w:tc>
          <w:tcPr>
            <w:tcW w:w="590" w:type="pct"/>
            <w:tcBorders>
              <w:top w:val="single" w:sz="4" w:space="0" w:color="auto"/>
              <w:left w:val="nil"/>
              <w:bottom w:val="single" w:sz="8"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12</w:t>
            </w:r>
          </w:p>
        </w:tc>
      </w:tr>
      <w:tr w:rsidR="00A314FB" w:rsidRPr="00A314FB" w:rsidTr="00A314FB">
        <w:trPr>
          <w:trHeight w:val="255"/>
        </w:trPr>
        <w:tc>
          <w:tcPr>
            <w:tcW w:w="5000" w:type="pct"/>
            <w:gridSpan w:val="12"/>
            <w:tcBorders>
              <w:top w:val="single" w:sz="8" w:space="0" w:color="auto"/>
              <w:left w:val="single" w:sz="8" w:space="0" w:color="auto"/>
              <w:bottom w:val="single" w:sz="4" w:space="0" w:color="auto"/>
              <w:right w:val="single" w:sz="8" w:space="0" w:color="000000"/>
            </w:tcBorders>
            <w:shd w:val="clear" w:color="000000" w:fill="D8E4BC"/>
            <w:vAlign w:val="center"/>
            <w:hideMark/>
          </w:tcPr>
          <w:p w:rsidR="00A314FB" w:rsidRPr="00A314FB" w:rsidRDefault="00A314FB" w:rsidP="00A314FB">
            <w:pPr>
              <w:rPr>
                <w:rFonts w:ascii="Arial" w:hAnsi="Arial" w:cs="Arial"/>
                <w:b/>
                <w:bCs/>
                <w:sz w:val="18"/>
                <w:szCs w:val="18"/>
                <w:lang w:val="en-GB" w:eastAsia="en-GB"/>
              </w:rPr>
            </w:pPr>
            <w:r w:rsidRPr="00A314FB">
              <w:rPr>
                <w:rFonts w:ascii="Arial" w:hAnsi="Arial" w:cs="Arial"/>
                <w:b/>
                <w:bCs/>
                <w:sz w:val="18"/>
                <w:szCs w:val="18"/>
                <w:lang w:val="en-GB" w:eastAsia="en-GB"/>
              </w:rPr>
              <w:t xml:space="preserve">1.1.Zaštita </w:t>
            </w:r>
            <w:proofErr w:type="spellStart"/>
            <w:r w:rsidRPr="00A314FB">
              <w:rPr>
                <w:rFonts w:ascii="Arial" w:hAnsi="Arial" w:cs="Arial"/>
                <w:b/>
                <w:bCs/>
                <w:sz w:val="18"/>
                <w:szCs w:val="18"/>
                <w:lang w:val="en-GB" w:eastAsia="en-GB"/>
              </w:rPr>
              <w:t>potrošača</w:t>
            </w:r>
            <w:proofErr w:type="spellEnd"/>
            <w:r w:rsidRPr="00A314FB">
              <w:rPr>
                <w:rFonts w:ascii="Arial" w:hAnsi="Arial" w:cs="Arial"/>
                <w:b/>
                <w:bCs/>
                <w:sz w:val="18"/>
                <w:szCs w:val="18"/>
                <w:lang w:val="en-GB" w:eastAsia="en-GB"/>
              </w:rPr>
              <w:t xml:space="preserve"> u </w:t>
            </w:r>
            <w:proofErr w:type="spellStart"/>
            <w:r w:rsidRPr="00A314FB">
              <w:rPr>
                <w:rFonts w:ascii="Arial" w:hAnsi="Arial" w:cs="Arial"/>
                <w:b/>
                <w:bCs/>
                <w:sz w:val="18"/>
                <w:szCs w:val="18"/>
                <w:lang w:val="en-GB" w:eastAsia="en-GB"/>
              </w:rPr>
              <w:t>Bosni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Hercegovini</w:t>
            </w:r>
            <w:proofErr w:type="spellEnd"/>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single" w:sz="8" w:space="0" w:color="000000"/>
            </w:tcBorders>
            <w:shd w:val="clear" w:color="000000" w:fill="EBF1DE"/>
            <w:vAlign w:val="bottom"/>
            <w:hideMark/>
          </w:tcPr>
          <w:p w:rsidR="00A314FB" w:rsidRPr="00A314FB" w:rsidRDefault="00A314FB" w:rsidP="00A314FB">
            <w:pPr>
              <w:rPr>
                <w:rFonts w:ascii="Arial" w:hAnsi="Arial" w:cs="Arial"/>
                <w:b/>
                <w:bCs/>
                <w:sz w:val="18"/>
                <w:szCs w:val="18"/>
                <w:lang w:val="en-GB" w:eastAsia="en-GB"/>
              </w:rPr>
            </w:pPr>
            <w:r w:rsidRPr="00A314FB">
              <w:rPr>
                <w:rFonts w:ascii="Arial" w:hAnsi="Arial" w:cs="Arial"/>
                <w:b/>
                <w:bCs/>
                <w:sz w:val="18"/>
                <w:szCs w:val="18"/>
                <w:lang w:val="en-GB" w:eastAsia="en-GB"/>
              </w:rPr>
              <w:t xml:space="preserve">1.1.1Pravna </w:t>
            </w:r>
            <w:proofErr w:type="spellStart"/>
            <w:r w:rsidRPr="00A314FB">
              <w:rPr>
                <w:rFonts w:ascii="Arial" w:hAnsi="Arial" w:cs="Arial"/>
                <w:b/>
                <w:bCs/>
                <w:sz w:val="18"/>
                <w:szCs w:val="18"/>
                <w:lang w:val="en-GB" w:eastAsia="en-GB"/>
              </w:rPr>
              <w:t>podrška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potrošačima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postupanje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pojedinačnim</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žalbama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davanje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usmenih</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savjeta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mišljenja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tumačenja</w:t>
            </w:r>
            <w:proofErr w:type="spellEnd"/>
            <w:r w:rsidRPr="00A314FB">
              <w:rPr>
                <w:rFonts w:ascii="Arial" w:hAnsi="Arial" w:cs="Arial"/>
                <w:b/>
                <w:bCs/>
                <w:sz w:val="18"/>
                <w:szCs w:val="18"/>
                <w:lang w:val="en-GB" w:eastAsia="en-GB"/>
              </w:rPr>
              <w:t>)</w:t>
            </w:r>
          </w:p>
        </w:tc>
      </w:tr>
      <w:tr w:rsidR="00A314FB" w:rsidRPr="00A314FB" w:rsidTr="00A314FB">
        <w:trPr>
          <w:trHeight w:val="1725"/>
        </w:trPr>
        <w:tc>
          <w:tcPr>
            <w:tcW w:w="936" w:type="pct"/>
            <w:tcBorders>
              <w:top w:val="nil"/>
              <w:left w:val="single" w:sz="8" w:space="0" w:color="auto"/>
              <w:bottom w:val="single" w:sz="4" w:space="0" w:color="auto"/>
              <w:right w:val="single" w:sz="4" w:space="0" w:color="auto"/>
            </w:tcBorders>
            <w:shd w:val="clear" w:color="auto" w:fill="auto"/>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t xml:space="preserve">1.1.1.1 </w:t>
            </w:r>
            <w:proofErr w:type="spellStart"/>
            <w:r w:rsidRPr="00A314FB">
              <w:rPr>
                <w:rFonts w:ascii="Arial" w:hAnsi="Arial" w:cs="Arial"/>
                <w:sz w:val="18"/>
                <w:szCs w:val="18"/>
                <w:lang w:val="en-GB" w:eastAsia="en-GB"/>
              </w:rPr>
              <w:t>Pravni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savjeti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usmeni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pismeni</w:t>
            </w:r>
            <w:proofErr w:type="spellEnd"/>
            <w:r w:rsidRPr="00A314FB">
              <w:rPr>
                <w:rFonts w:ascii="Arial" w:hAnsi="Arial" w:cs="Arial"/>
                <w:sz w:val="18"/>
                <w:szCs w:val="18"/>
                <w:lang w:val="en-GB" w:eastAsia="en-GB"/>
              </w:rPr>
              <w:t>)</w:t>
            </w:r>
          </w:p>
        </w:tc>
        <w:tc>
          <w:tcPr>
            <w:tcW w:w="430"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izdanih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savjeta</w:t>
            </w:r>
            <w:proofErr w:type="spellEnd"/>
          </w:p>
        </w:tc>
        <w:tc>
          <w:tcPr>
            <w:tcW w:w="282"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613</w:t>
            </w:r>
          </w:p>
        </w:tc>
        <w:tc>
          <w:tcPr>
            <w:tcW w:w="282"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725</w:t>
            </w:r>
          </w:p>
        </w:tc>
        <w:tc>
          <w:tcPr>
            <w:tcW w:w="283"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448</w:t>
            </w:r>
          </w:p>
        </w:tc>
        <w:tc>
          <w:tcPr>
            <w:tcW w:w="418"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54665</w:t>
            </w:r>
          </w:p>
        </w:tc>
        <w:tc>
          <w:tcPr>
            <w:tcW w:w="417" w:type="pct"/>
            <w:tcBorders>
              <w:top w:val="nil"/>
              <w:left w:val="nil"/>
              <w:bottom w:val="single" w:sz="4" w:space="0" w:color="auto"/>
              <w:right w:val="nil"/>
            </w:tcBorders>
            <w:shd w:val="clear" w:color="auto" w:fill="auto"/>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49372</w:t>
            </w:r>
          </w:p>
        </w:tc>
        <w:tc>
          <w:tcPr>
            <w:tcW w:w="282" w:type="pct"/>
            <w:tcBorders>
              <w:top w:val="nil"/>
              <w:left w:val="single" w:sz="4" w:space="0" w:color="auto"/>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nil"/>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25%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pojedinačnog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1815"/>
        </w:trPr>
        <w:tc>
          <w:tcPr>
            <w:tcW w:w="936" w:type="pct"/>
            <w:tcBorders>
              <w:top w:val="nil"/>
              <w:left w:val="single" w:sz="8" w:space="0" w:color="auto"/>
              <w:bottom w:val="single" w:sz="4" w:space="0" w:color="auto"/>
              <w:right w:val="single" w:sz="4" w:space="0" w:color="auto"/>
            </w:tcBorders>
            <w:shd w:val="clear" w:color="auto" w:fill="auto"/>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t xml:space="preserve">1.1.1.2 </w:t>
            </w:r>
            <w:proofErr w:type="spellStart"/>
            <w:r w:rsidRPr="00A314FB">
              <w:rPr>
                <w:rFonts w:ascii="Arial" w:hAnsi="Arial" w:cs="Arial"/>
                <w:sz w:val="18"/>
                <w:szCs w:val="18"/>
                <w:lang w:val="en-GB" w:eastAsia="en-GB"/>
              </w:rPr>
              <w:t>Tumačenja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mišljenja</w:t>
            </w:r>
            <w:proofErr w:type="spellEnd"/>
          </w:p>
        </w:tc>
        <w:tc>
          <w:tcPr>
            <w:tcW w:w="430"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tumačenja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mišljenja</w:t>
            </w:r>
            <w:proofErr w:type="spellEnd"/>
          </w:p>
        </w:tc>
        <w:tc>
          <w:tcPr>
            <w:tcW w:w="282"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12</w:t>
            </w:r>
          </w:p>
        </w:tc>
        <w:tc>
          <w:tcPr>
            <w:tcW w:w="282"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6</w:t>
            </w:r>
          </w:p>
        </w:tc>
        <w:tc>
          <w:tcPr>
            <w:tcW w:w="283"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10</w:t>
            </w:r>
          </w:p>
        </w:tc>
        <w:tc>
          <w:tcPr>
            <w:tcW w:w="418"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32799</w:t>
            </w:r>
          </w:p>
        </w:tc>
        <w:tc>
          <w:tcPr>
            <w:tcW w:w="417" w:type="pct"/>
            <w:tcBorders>
              <w:top w:val="nil"/>
              <w:left w:val="nil"/>
              <w:bottom w:val="single" w:sz="4" w:space="0" w:color="auto"/>
              <w:right w:val="nil"/>
            </w:tcBorders>
            <w:shd w:val="clear" w:color="auto" w:fill="auto"/>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29623</w:t>
            </w:r>
          </w:p>
        </w:tc>
        <w:tc>
          <w:tcPr>
            <w:tcW w:w="282" w:type="pct"/>
            <w:tcBorders>
              <w:top w:val="nil"/>
              <w:left w:val="single" w:sz="4" w:space="0" w:color="auto"/>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nil"/>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pojedinačnog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1710"/>
        </w:trPr>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lastRenderedPageBreak/>
              <w:t xml:space="preserve">1.1.1.3 </w:t>
            </w:r>
            <w:proofErr w:type="spellStart"/>
            <w:r w:rsidRPr="00A314FB">
              <w:rPr>
                <w:rFonts w:ascii="Arial" w:hAnsi="Arial" w:cs="Arial"/>
                <w:sz w:val="18"/>
                <w:szCs w:val="18"/>
                <w:lang w:val="en-GB" w:eastAsia="en-GB"/>
              </w:rPr>
              <w:t>Odluke</w:t>
            </w:r>
            <w:proofErr w:type="spellEnd"/>
            <w:r w:rsidRPr="00A314FB">
              <w:rPr>
                <w:rFonts w:ascii="Arial" w:hAnsi="Arial" w:cs="Arial"/>
                <w:sz w:val="18"/>
                <w:szCs w:val="18"/>
                <w:lang w:val="en-GB" w:eastAsia="en-GB"/>
              </w:rPr>
              <w:t xml:space="preserve"> u </w:t>
            </w:r>
            <w:proofErr w:type="spellStart"/>
            <w:r w:rsidRPr="00A314FB">
              <w:rPr>
                <w:rFonts w:ascii="Arial" w:hAnsi="Arial" w:cs="Arial"/>
                <w:sz w:val="18"/>
                <w:szCs w:val="18"/>
                <w:lang w:val="en-GB" w:eastAsia="en-GB"/>
              </w:rPr>
              <w:t>pojedinačnim</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predmetima</w:t>
            </w:r>
            <w:proofErr w:type="spellEnd"/>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žalbi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donesenih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odluka</w:t>
            </w:r>
            <w:proofErr w:type="spellEnd"/>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172</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225</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353</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131196</w:t>
            </w:r>
          </w:p>
        </w:tc>
        <w:tc>
          <w:tcPr>
            <w:tcW w:w="417" w:type="pct"/>
            <w:tcBorders>
              <w:top w:val="single" w:sz="4" w:space="0" w:color="auto"/>
              <w:left w:val="nil"/>
              <w:bottom w:val="single" w:sz="4" w:space="0" w:color="auto"/>
              <w:right w:val="nil"/>
            </w:tcBorders>
            <w:shd w:val="clear" w:color="auto" w:fill="auto"/>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118492</w:t>
            </w:r>
          </w:p>
        </w:tc>
        <w:tc>
          <w:tcPr>
            <w:tcW w:w="2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single" w:sz="4" w:space="0" w:color="auto"/>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single" w:sz="4" w:space="0" w:color="auto"/>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60%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pojedinačnog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255"/>
        </w:trPr>
        <w:tc>
          <w:tcPr>
            <w:tcW w:w="5000" w:type="pct"/>
            <w:gridSpan w:val="12"/>
            <w:tcBorders>
              <w:top w:val="single" w:sz="8" w:space="0" w:color="auto"/>
              <w:left w:val="single" w:sz="8" w:space="0" w:color="auto"/>
              <w:bottom w:val="single" w:sz="4" w:space="0" w:color="auto"/>
              <w:right w:val="single" w:sz="8" w:space="0" w:color="000000"/>
            </w:tcBorders>
            <w:shd w:val="clear" w:color="000000" w:fill="D8E4BC"/>
            <w:vAlign w:val="center"/>
            <w:hideMark/>
          </w:tcPr>
          <w:p w:rsidR="00A314FB" w:rsidRPr="00A314FB" w:rsidRDefault="00A314FB" w:rsidP="00A314FB">
            <w:pPr>
              <w:rPr>
                <w:rFonts w:ascii="Arial" w:hAnsi="Arial" w:cs="Arial"/>
                <w:b/>
                <w:bCs/>
                <w:sz w:val="18"/>
                <w:szCs w:val="18"/>
                <w:lang w:val="en-GB" w:eastAsia="en-GB"/>
              </w:rPr>
            </w:pPr>
            <w:r w:rsidRPr="00A314FB">
              <w:rPr>
                <w:rFonts w:ascii="Arial" w:hAnsi="Arial" w:cs="Arial"/>
                <w:b/>
                <w:bCs/>
                <w:sz w:val="18"/>
                <w:szCs w:val="18"/>
                <w:lang w:val="en-GB" w:eastAsia="en-GB"/>
              </w:rPr>
              <w:t xml:space="preserve">1.1.2 </w:t>
            </w:r>
            <w:proofErr w:type="spellStart"/>
            <w:r w:rsidRPr="00A314FB">
              <w:rPr>
                <w:rFonts w:ascii="Arial" w:hAnsi="Arial" w:cs="Arial"/>
                <w:b/>
                <w:bCs/>
                <w:sz w:val="18"/>
                <w:szCs w:val="18"/>
                <w:lang w:val="en-GB" w:eastAsia="en-GB"/>
              </w:rPr>
              <w:t>Suradnja</w:t>
            </w:r>
            <w:proofErr w:type="spellEnd"/>
            <w:r w:rsidRPr="00A314FB">
              <w:rPr>
                <w:rFonts w:ascii="Arial" w:hAnsi="Arial" w:cs="Arial"/>
                <w:b/>
                <w:bCs/>
                <w:sz w:val="18"/>
                <w:szCs w:val="18"/>
                <w:lang w:val="en-GB" w:eastAsia="en-GB"/>
              </w:rPr>
              <w:t xml:space="preserve"> s </w:t>
            </w:r>
            <w:proofErr w:type="spellStart"/>
            <w:r w:rsidRPr="00A314FB">
              <w:rPr>
                <w:rFonts w:ascii="Arial" w:hAnsi="Arial" w:cs="Arial"/>
                <w:b/>
                <w:bCs/>
                <w:sz w:val="18"/>
                <w:szCs w:val="18"/>
                <w:lang w:val="en-GB" w:eastAsia="en-GB"/>
              </w:rPr>
              <w:t>ostalim</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nositeljima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zaštite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čl</w:t>
            </w:r>
            <w:proofErr w:type="spellEnd"/>
            <w:r w:rsidRPr="00A314FB">
              <w:rPr>
                <w:rFonts w:ascii="Arial" w:hAnsi="Arial" w:cs="Arial"/>
                <w:b/>
                <w:bCs/>
                <w:sz w:val="18"/>
                <w:szCs w:val="18"/>
                <w:lang w:val="en-GB" w:eastAsia="en-GB"/>
              </w:rPr>
              <w:t xml:space="preserve">. 98 ZZP)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predstavnicima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trgovinskih</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udruženja</w:t>
            </w:r>
            <w:proofErr w:type="spellEnd"/>
            <w:r w:rsidRPr="00A314FB">
              <w:rPr>
                <w:rFonts w:ascii="Arial" w:hAnsi="Arial" w:cs="Arial"/>
                <w:b/>
                <w:bCs/>
                <w:sz w:val="18"/>
                <w:szCs w:val="18"/>
                <w:lang w:val="en-GB" w:eastAsia="en-GB"/>
              </w:rPr>
              <w:t xml:space="preserve"> -  (</w:t>
            </w:r>
            <w:proofErr w:type="spellStart"/>
            <w:r w:rsidRPr="00A314FB">
              <w:rPr>
                <w:rFonts w:ascii="Arial" w:hAnsi="Arial" w:cs="Arial"/>
                <w:b/>
                <w:bCs/>
                <w:sz w:val="18"/>
                <w:szCs w:val="18"/>
                <w:lang w:val="en-GB" w:eastAsia="en-GB"/>
              </w:rPr>
              <w:t>kolektivni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karakter</w:t>
            </w:r>
            <w:proofErr w:type="spellEnd"/>
            <w:r w:rsidRPr="00A314FB">
              <w:rPr>
                <w:rFonts w:ascii="Arial" w:hAnsi="Arial" w:cs="Arial"/>
                <w:b/>
                <w:bCs/>
                <w:sz w:val="18"/>
                <w:szCs w:val="18"/>
                <w:lang w:val="en-GB" w:eastAsia="en-GB"/>
              </w:rPr>
              <w:t>)</w:t>
            </w:r>
          </w:p>
        </w:tc>
      </w:tr>
      <w:tr w:rsidR="00A314FB" w:rsidRPr="00A314FB" w:rsidTr="00A314FB">
        <w:trPr>
          <w:trHeight w:val="1920"/>
        </w:trPr>
        <w:tc>
          <w:tcPr>
            <w:tcW w:w="936" w:type="pct"/>
            <w:tcBorders>
              <w:top w:val="nil"/>
              <w:left w:val="single" w:sz="8" w:space="0" w:color="auto"/>
              <w:bottom w:val="single" w:sz="4" w:space="0" w:color="auto"/>
              <w:right w:val="single" w:sz="4" w:space="0" w:color="auto"/>
            </w:tcBorders>
            <w:shd w:val="clear" w:color="000000" w:fill="FFFFFF"/>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t xml:space="preserve">1.1.2.1 </w:t>
            </w:r>
            <w:proofErr w:type="spellStart"/>
            <w:r w:rsidRPr="00A314FB">
              <w:rPr>
                <w:rFonts w:ascii="Arial" w:hAnsi="Arial" w:cs="Arial"/>
                <w:sz w:val="18"/>
                <w:szCs w:val="18"/>
                <w:lang w:val="en-GB" w:eastAsia="en-GB"/>
              </w:rPr>
              <w:t>Preporuke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Posebni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izvještaji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instrukcije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sudski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postupci</w:t>
            </w:r>
            <w:proofErr w:type="spellEnd"/>
            <w:r w:rsidRPr="00A314FB">
              <w:rPr>
                <w:rFonts w:ascii="Arial" w:hAnsi="Arial" w:cs="Arial"/>
                <w:sz w:val="18"/>
                <w:szCs w:val="18"/>
                <w:lang w:val="en-GB" w:eastAsia="en-GB"/>
              </w:rPr>
              <w:t xml:space="preserve"> </w:t>
            </w:r>
          </w:p>
        </w:tc>
        <w:tc>
          <w:tcPr>
            <w:tcW w:w="430"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izdanih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Preporuka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Posebnih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izvještaja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sudskih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postupaka</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7</w:t>
            </w:r>
          </w:p>
        </w:tc>
        <w:tc>
          <w:tcPr>
            <w:tcW w:w="282" w:type="pct"/>
            <w:tcBorders>
              <w:top w:val="double" w:sz="6" w:space="0" w:color="auto"/>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12</w:t>
            </w:r>
          </w:p>
        </w:tc>
        <w:tc>
          <w:tcPr>
            <w:tcW w:w="283" w:type="pct"/>
            <w:tcBorders>
              <w:top w:val="double" w:sz="6" w:space="0" w:color="auto"/>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2</w:t>
            </w:r>
          </w:p>
        </w:tc>
        <w:tc>
          <w:tcPr>
            <w:tcW w:w="418"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47502</w:t>
            </w:r>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42902</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nil"/>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30%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1110"/>
        </w:trPr>
        <w:tc>
          <w:tcPr>
            <w:tcW w:w="936" w:type="pct"/>
            <w:tcBorders>
              <w:top w:val="nil"/>
              <w:left w:val="single" w:sz="8" w:space="0" w:color="auto"/>
              <w:bottom w:val="single" w:sz="4" w:space="0" w:color="auto"/>
              <w:right w:val="single" w:sz="4" w:space="0" w:color="auto"/>
            </w:tcBorders>
            <w:shd w:val="clear" w:color="000000" w:fill="FFFFFF"/>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t xml:space="preserve">1.1.2.2  </w:t>
            </w:r>
            <w:proofErr w:type="spellStart"/>
            <w:r w:rsidRPr="00A314FB">
              <w:rPr>
                <w:rFonts w:ascii="Arial" w:hAnsi="Arial" w:cs="Arial"/>
                <w:sz w:val="18"/>
                <w:szCs w:val="18"/>
                <w:lang w:val="en-GB" w:eastAsia="en-GB"/>
              </w:rPr>
              <w:t>Godišnje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izvješće</w:t>
            </w:r>
            <w:proofErr w:type="spellEnd"/>
            <w:r w:rsidRPr="00A314FB">
              <w:rPr>
                <w:rFonts w:ascii="Arial" w:hAnsi="Arial" w:cs="Arial"/>
                <w:sz w:val="18"/>
                <w:szCs w:val="18"/>
                <w:lang w:val="en-GB" w:eastAsia="en-GB"/>
              </w:rPr>
              <w:t xml:space="preserve"> o </w:t>
            </w:r>
            <w:proofErr w:type="spellStart"/>
            <w:r w:rsidRPr="00A314FB">
              <w:rPr>
                <w:rFonts w:ascii="Arial" w:hAnsi="Arial" w:cs="Arial"/>
                <w:sz w:val="18"/>
                <w:szCs w:val="18"/>
                <w:lang w:val="en-GB" w:eastAsia="en-GB"/>
              </w:rPr>
              <w:t>radu</w:t>
            </w:r>
            <w:proofErr w:type="spellEnd"/>
          </w:p>
        </w:tc>
        <w:tc>
          <w:tcPr>
            <w:tcW w:w="430"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Ombudsmen,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w:t>
            </w:r>
          </w:p>
        </w:tc>
        <w:tc>
          <w:tcPr>
            <w:tcW w:w="282"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w:t>
            </w:r>
          </w:p>
        </w:tc>
        <w:tc>
          <w:tcPr>
            <w:tcW w:w="283"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w:t>
            </w:r>
          </w:p>
        </w:tc>
        <w:tc>
          <w:tcPr>
            <w:tcW w:w="418"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7917</w:t>
            </w:r>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7150</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nil"/>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1650"/>
        </w:trPr>
        <w:tc>
          <w:tcPr>
            <w:tcW w:w="936" w:type="pct"/>
            <w:tcBorders>
              <w:top w:val="nil"/>
              <w:left w:val="single" w:sz="8" w:space="0" w:color="auto"/>
              <w:bottom w:val="single" w:sz="4" w:space="0" w:color="auto"/>
              <w:right w:val="single" w:sz="4" w:space="0" w:color="auto"/>
            </w:tcBorders>
            <w:shd w:val="clear" w:color="000000" w:fill="FFFFFF"/>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t xml:space="preserve">1.1.2.3 </w:t>
            </w:r>
            <w:proofErr w:type="spellStart"/>
            <w:r w:rsidRPr="00A314FB">
              <w:rPr>
                <w:rFonts w:ascii="Arial" w:hAnsi="Arial" w:cs="Arial"/>
                <w:sz w:val="18"/>
                <w:szCs w:val="18"/>
                <w:lang w:val="en-GB" w:eastAsia="en-GB"/>
              </w:rPr>
              <w:t>Odgovori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na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upite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medija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priopćenja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za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javnost</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gostovanja</w:t>
            </w:r>
            <w:proofErr w:type="spellEnd"/>
          </w:p>
        </w:tc>
        <w:tc>
          <w:tcPr>
            <w:tcW w:w="430"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Ombudsmen,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danih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odgovora</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62</w:t>
            </w:r>
          </w:p>
        </w:tc>
        <w:tc>
          <w:tcPr>
            <w:tcW w:w="282"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44</w:t>
            </w:r>
          </w:p>
        </w:tc>
        <w:tc>
          <w:tcPr>
            <w:tcW w:w="283"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57</w:t>
            </w:r>
          </w:p>
        </w:tc>
        <w:tc>
          <w:tcPr>
            <w:tcW w:w="418"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23751</w:t>
            </w:r>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21451</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nil"/>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1770"/>
        </w:trPr>
        <w:tc>
          <w:tcPr>
            <w:tcW w:w="936" w:type="pct"/>
            <w:tcBorders>
              <w:top w:val="nil"/>
              <w:left w:val="single" w:sz="8" w:space="0" w:color="auto"/>
              <w:bottom w:val="single" w:sz="4" w:space="0" w:color="auto"/>
              <w:right w:val="single" w:sz="4" w:space="0" w:color="auto"/>
            </w:tcBorders>
            <w:shd w:val="clear" w:color="000000" w:fill="FFFFFF"/>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t xml:space="preserve">1.1.2.4 </w:t>
            </w:r>
            <w:proofErr w:type="spellStart"/>
            <w:r w:rsidRPr="00A314FB">
              <w:rPr>
                <w:rFonts w:ascii="Arial" w:hAnsi="Arial" w:cs="Arial"/>
                <w:sz w:val="18"/>
                <w:szCs w:val="18"/>
                <w:lang w:val="en-GB" w:eastAsia="en-GB"/>
              </w:rPr>
              <w:t>Tiskanje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brošura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letaka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udžbenika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edukacije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školama</w:t>
            </w:r>
            <w:proofErr w:type="spellEnd"/>
          </w:p>
        </w:tc>
        <w:tc>
          <w:tcPr>
            <w:tcW w:w="430"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4</w:t>
            </w:r>
          </w:p>
        </w:tc>
        <w:tc>
          <w:tcPr>
            <w:tcW w:w="282"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7</w:t>
            </w:r>
          </w:p>
        </w:tc>
        <w:tc>
          <w:tcPr>
            <w:tcW w:w="283"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2</w:t>
            </w:r>
          </w:p>
        </w:tc>
        <w:tc>
          <w:tcPr>
            <w:tcW w:w="418" w:type="pct"/>
            <w:tcBorders>
              <w:top w:val="nil"/>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15834</w:t>
            </w:r>
          </w:p>
        </w:tc>
        <w:tc>
          <w:tcPr>
            <w:tcW w:w="417" w:type="pct"/>
            <w:tcBorders>
              <w:top w:val="nil"/>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14301</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nil"/>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nil"/>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10%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1695"/>
        </w:trPr>
        <w:tc>
          <w:tcPr>
            <w:tcW w:w="9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lastRenderedPageBreak/>
              <w:t xml:space="preserve">1.1.2.5  </w:t>
            </w:r>
            <w:proofErr w:type="spellStart"/>
            <w:r w:rsidRPr="00A314FB">
              <w:rPr>
                <w:rFonts w:ascii="Arial" w:hAnsi="Arial" w:cs="Arial"/>
                <w:sz w:val="18"/>
                <w:szCs w:val="18"/>
                <w:lang w:val="en-GB" w:eastAsia="en-GB"/>
              </w:rPr>
              <w:t>Suradnja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ostalim</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nositeljima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zaštite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potrošača</w:t>
            </w:r>
            <w:proofErr w:type="spellEnd"/>
            <w:r w:rsidRPr="00A314FB">
              <w:rPr>
                <w:rFonts w:ascii="Arial" w:hAnsi="Arial" w:cs="Arial"/>
                <w:sz w:val="18"/>
                <w:szCs w:val="18"/>
                <w:lang w:val="en-GB" w:eastAsia="en-GB"/>
              </w:rPr>
              <w:t xml:space="preserve">    </w:t>
            </w:r>
          </w:p>
        </w:tc>
        <w:tc>
          <w:tcPr>
            <w:tcW w:w="430" w:type="pct"/>
            <w:tcBorders>
              <w:top w:val="single" w:sz="4" w:space="0" w:color="auto"/>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ostavarenih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suradnji</w:t>
            </w:r>
            <w:proofErr w:type="spellEnd"/>
          </w:p>
        </w:tc>
        <w:tc>
          <w:tcPr>
            <w:tcW w:w="282" w:type="pct"/>
            <w:tcBorders>
              <w:top w:val="single" w:sz="4" w:space="0" w:color="auto"/>
              <w:left w:val="nil"/>
              <w:bottom w:val="single" w:sz="4"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5</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15</w:t>
            </w:r>
          </w:p>
        </w:tc>
        <w:tc>
          <w:tcPr>
            <w:tcW w:w="283" w:type="pct"/>
            <w:tcBorders>
              <w:top w:val="single" w:sz="4" w:space="0" w:color="auto"/>
              <w:left w:val="nil"/>
              <w:bottom w:val="single" w:sz="4"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15</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single" w:sz="4" w:space="0" w:color="auto"/>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39585</w:t>
            </w:r>
          </w:p>
        </w:tc>
        <w:tc>
          <w:tcPr>
            <w:tcW w:w="417" w:type="pct"/>
            <w:tcBorders>
              <w:top w:val="single" w:sz="4" w:space="0" w:color="auto"/>
              <w:left w:val="nil"/>
              <w:bottom w:val="single" w:sz="4"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35752</w:t>
            </w:r>
          </w:p>
        </w:tc>
        <w:tc>
          <w:tcPr>
            <w:tcW w:w="282" w:type="pct"/>
            <w:tcBorders>
              <w:top w:val="single" w:sz="4" w:space="0" w:color="auto"/>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single" w:sz="4" w:space="0" w:color="auto"/>
              <w:left w:val="nil"/>
              <w:bottom w:val="single" w:sz="4"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single" w:sz="4" w:space="0" w:color="auto"/>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25%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314FB" w:rsidRPr="00A314FB" w:rsidTr="00A314FB">
        <w:trPr>
          <w:trHeight w:val="1665"/>
        </w:trPr>
        <w:tc>
          <w:tcPr>
            <w:tcW w:w="936" w:type="pct"/>
            <w:tcBorders>
              <w:top w:val="nil"/>
              <w:left w:val="single" w:sz="8" w:space="0" w:color="auto"/>
              <w:bottom w:val="single" w:sz="12" w:space="0" w:color="auto"/>
              <w:right w:val="single" w:sz="4" w:space="0" w:color="auto"/>
            </w:tcBorders>
            <w:shd w:val="clear" w:color="000000" w:fill="FFFFFF"/>
            <w:vAlign w:val="center"/>
            <w:hideMark/>
          </w:tcPr>
          <w:p w:rsidR="00A314FB" w:rsidRPr="00A314FB" w:rsidRDefault="00A314FB" w:rsidP="00A314FB">
            <w:pPr>
              <w:rPr>
                <w:rFonts w:ascii="Arial" w:hAnsi="Arial" w:cs="Arial"/>
                <w:sz w:val="18"/>
                <w:szCs w:val="18"/>
                <w:lang w:val="en-GB" w:eastAsia="en-GB"/>
              </w:rPr>
            </w:pPr>
            <w:r w:rsidRPr="00A314FB">
              <w:rPr>
                <w:rFonts w:ascii="Arial" w:hAnsi="Arial" w:cs="Arial"/>
                <w:sz w:val="18"/>
                <w:szCs w:val="18"/>
                <w:lang w:val="en-GB" w:eastAsia="en-GB"/>
              </w:rPr>
              <w:t xml:space="preserve">1.1.2.6 </w:t>
            </w:r>
            <w:proofErr w:type="spellStart"/>
            <w:r w:rsidRPr="00A314FB">
              <w:rPr>
                <w:rFonts w:ascii="Arial" w:hAnsi="Arial" w:cs="Arial"/>
                <w:sz w:val="18"/>
                <w:szCs w:val="18"/>
                <w:lang w:val="en-GB" w:eastAsia="en-GB"/>
              </w:rPr>
              <w:t>Partnerstvo</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na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projektima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udruženjima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potrošača</w:t>
            </w:r>
            <w:proofErr w:type="spellEnd"/>
          </w:p>
        </w:tc>
        <w:tc>
          <w:tcPr>
            <w:tcW w:w="430" w:type="pct"/>
            <w:tcBorders>
              <w:top w:val="nil"/>
              <w:left w:val="nil"/>
              <w:bottom w:val="single" w:sz="12"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381" w:type="pct"/>
            <w:tcBorders>
              <w:top w:val="nil"/>
              <w:left w:val="nil"/>
              <w:bottom w:val="single" w:sz="12"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sudjelovanjem</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otvarenih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partnerstava</w:t>
            </w:r>
            <w:proofErr w:type="spellEnd"/>
          </w:p>
        </w:tc>
        <w:tc>
          <w:tcPr>
            <w:tcW w:w="282" w:type="pct"/>
            <w:tcBorders>
              <w:top w:val="nil"/>
              <w:left w:val="nil"/>
              <w:bottom w:val="single" w:sz="12" w:space="0" w:color="auto"/>
              <w:right w:val="single" w:sz="4" w:space="0" w:color="auto"/>
            </w:tcBorders>
            <w:shd w:val="clear" w:color="000000" w:fill="FFFFFF"/>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11</w:t>
            </w:r>
          </w:p>
        </w:tc>
        <w:tc>
          <w:tcPr>
            <w:tcW w:w="282" w:type="pct"/>
            <w:tcBorders>
              <w:top w:val="nil"/>
              <w:left w:val="nil"/>
              <w:bottom w:val="single" w:sz="12"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15</w:t>
            </w:r>
          </w:p>
        </w:tc>
        <w:tc>
          <w:tcPr>
            <w:tcW w:w="283" w:type="pct"/>
            <w:tcBorders>
              <w:top w:val="nil"/>
              <w:left w:val="nil"/>
              <w:bottom w:val="single" w:sz="12" w:space="0" w:color="auto"/>
              <w:right w:val="single" w:sz="4" w:space="0" w:color="auto"/>
            </w:tcBorders>
            <w:shd w:val="clear" w:color="000000" w:fill="FFFFFF"/>
            <w:noWrap/>
            <w:vAlign w:val="center"/>
            <w:hideMark/>
          </w:tcPr>
          <w:p w:rsidR="00A314FB" w:rsidRPr="00A314FB" w:rsidRDefault="00A314FB" w:rsidP="00A314FB">
            <w:pPr>
              <w:jc w:val="center"/>
              <w:rPr>
                <w:rFonts w:ascii="Arial" w:hAnsi="Arial" w:cs="Arial"/>
                <w:sz w:val="18"/>
                <w:szCs w:val="18"/>
                <w:lang w:val="en-GB" w:eastAsia="en-GB"/>
              </w:rPr>
            </w:pPr>
            <w:r w:rsidRPr="00A314FB">
              <w:rPr>
                <w:rFonts w:ascii="Arial" w:hAnsi="Arial" w:cs="Arial"/>
                <w:sz w:val="18"/>
                <w:szCs w:val="18"/>
                <w:lang w:val="en-GB" w:eastAsia="en-GB"/>
              </w:rPr>
              <w:t>5</w:t>
            </w:r>
          </w:p>
        </w:tc>
        <w:tc>
          <w:tcPr>
            <w:tcW w:w="418" w:type="pct"/>
            <w:tcBorders>
              <w:top w:val="nil"/>
              <w:left w:val="nil"/>
              <w:bottom w:val="single" w:sz="12" w:space="0" w:color="auto"/>
              <w:right w:val="single" w:sz="4" w:space="0" w:color="auto"/>
            </w:tcBorders>
            <w:shd w:val="clear" w:color="auto" w:fill="auto"/>
            <w:noWrap/>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17" w:type="pct"/>
            <w:tcBorders>
              <w:top w:val="nil"/>
              <w:left w:val="nil"/>
              <w:bottom w:val="single" w:sz="12"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23751</w:t>
            </w:r>
          </w:p>
        </w:tc>
        <w:tc>
          <w:tcPr>
            <w:tcW w:w="417" w:type="pct"/>
            <w:tcBorders>
              <w:top w:val="nil"/>
              <w:left w:val="nil"/>
              <w:bottom w:val="single" w:sz="12" w:space="0" w:color="auto"/>
              <w:right w:val="single" w:sz="4" w:space="0" w:color="auto"/>
            </w:tcBorders>
            <w:shd w:val="clear" w:color="000000" w:fill="FFFFFF"/>
            <w:noWrap/>
            <w:vAlign w:val="center"/>
            <w:hideMark/>
          </w:tcPr>
          <w:p w:rsidR="00A314FB" w:rsidRPr="00A314FB" w:rsidRDefault="00A314FB" w:rsidP="00A314FB">
            <w:pPr>
              <w:jc w:val="right"/>
              <w:rPr>
                <w:rFonts w:ascii="Arial" w:hAnsi="Arial" w:cs="Arial"/>
                <w:sz w:val="18"/>
                <w:szCs w:val="18"/>
                <w:lang w:val="en-GB" w:eastAsia="en-GB"/>
              </w:rPr>
            </w:pPr>
            <w:r w:rsidRPr="00A314FB">
              <w:rPr>
                <w:rFonts w:ascii="Arial" w:hAnsi="Arial" w:cs="Arial"/>
                <w:sz w:val="18"/>
                <w:szCs w:val="18"/>
                <w:lang w:val="en-GB" w:eastAsia="en-GB"/>
              </w:rPr>
              <w:t>21452</w:t>
            </w:r>
          </w:p>
        </w:tc>
        <w:tc>
          <w:tcPr>
            <w:tcW w:w="282" w:type="pct"/>
            <w:tcBorders>
              <w:top w:val="nil"/>
              <w:left w:val="nil"/>
              <w:bottom w:val="single" w:sz="12"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82" w:type="pct"/>
            <w:tcBorders>
              <w:top w:val="nil"/>
              <w:left w:val="nil"/>
              <w:bottom w:val="single" w:sz="12" w:space="0" w:color="auto"/>
              <w:right w:val="single" w:sz="4" w:space="0" w:color="auto"/>
            </w:tcBorders>
            <w:shd w:val="clear" w:color="auto" w:fill="auto"/>
            <w:textDirection w:val="btLr"/>
            <w:vAlign w:val="center"/>
            <w:hideMark/>
          </w:tcPr>
          <w:p w:rsidR="00A314FB" w:rsidRPr="00A314FB" w:rsidRDefault="00A314FB" w:rsidP="00A314FB">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90" w:type="pct"/>
            <w:tcBorders>
              <w:top w:val="nil"/>
              <w:left w:val="nil"/>
              <w:bottom w:val="single" w:sz="4"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bl>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770FD" w:rsidRDefault="00F770FD" w:rsidP="00F770FD">
      <w:pPr>
        <w:jc w:val="both"/>
        <w:rPr>
          <w:rFonts w:ascii="Cambria" w:hAnsi="Cambria"/>
          <w:b/>
          <w:szCs w:val="24"/>
        </w:rPr>
      </w:pPr>
    </w:p>
    <w:p w:rsidR="00F23CC3" w:rsidRDefault="00F23CC3" w:rsidP="00F770FD">
      <w:pPr>
        <w:jc w:val="both"/>
        <w:rPr>
          <w:rFonts w:ascii="Cambria" w:hAnsi="Cambria"/>
          <w:sz w:val="22"/>
          <w:szCs w:val="22"/>
        </w:rPr>
      </w:pPr>
    </w:p>
    <w:p w:rsidR="00F770FD" w:rsidRPr="00F770FD" w:rsidRDefault="00F770FD" w:rsidP="00F770FD">
      <w:pPr>
        <w:rPr>
          <w:rFonts w:ascii="Cambria" w:hAnsi="Cambria"/>
          <w:sz w:val="22"/>
          <w:szCs w:val="22"/>
        </w:rPr>
      </w:pPr>
    </w:p>
    <w:sectPr w:rsidR="00F770FD" w:rsidRPr="00F770FD" w:rsidSect="00A314FB">
      <w:pgSz w:w="16838" w:h="12071"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9E" w:rsidRDefault="00322B9E">
      <w:r>
        <w:separator/>
      </w:r>
    </w:p>
  </w:endnote>
  <w:endnote w:type="continuationSeparator" w:id="0">
    <w:p w:rsidR="00322B9E" w:rsidRDefault="0032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9E" w:rsidRDefault="00322B9E">
      <w:r>
        <w:separator/>
      </w:r>
    </w:p>
  </w:footnote>
  <w:footnote w:type="continuationSeparator" w:id="0">
    <w:p w:rsidR="00322B9E" w:rsidRDefault="00322B9E">
      <w:r>
        <w:continuationSeparator/>
      </w:r>
    </w:p>
  </w:footnote>
  <w:footnote w:id="1">
    <w:p w:rsidR="00082701" w:rsidRPr="00C7166A" w:rsidRDefault="00082701" w:rsidP="00084414">
      <w:pPr>
        <w:pStyle w:val="Tekstfusnote"/>
        <w:ind w:firstLine="0"/>
        <w:rPr>
          <w:rFonts w:ascii="Cambria" w:hAnsi="Cambria" w:cs="Tahoma"/>
          <w:sz w:val="18"/>
          <w:szCs w:val="18"/>
          <w:lang w:val="hr-BA"/>
        </w:rPr>
      </w:pPr>
      <w:r w:rsidRPr="00C7166A">
        <w:rPr>
          <w:rStyle w:val="Referencafusnote"/>
          <w:rFonts w:ascii="Cambria" w:hAnsi="Cambria" w:cs="Tahoma"/>
          <w:sz w:val="18"/>
          <w:szCs w:val="18"/>
        </w:rPr>
        <w:footnoteRef/>
      </w:r>
      <w:r w:rsidRPr="00C7166A">
        <w:rPr>
          <w:rFonts w:ascii="Cambria" w:hAnsi="Cambria" w:cs="Tahoma"/>
          <w:sz w:val="18"/>
          <w:szCs w:val="18"/>
        </w:rPr>
        <w:t xml:space="preserve"> ''</w:t>
      </w:r>
      <w:r w:rsidRPr="00C7166A">
        <w:rPr>
          <w:rFonts w:ascii="Cambria" w:hAnsi="Cambria" w:cs="Tahoma"/>
          <w:sz w:val="18"/>
          <w:szCs w:val="18"/>
          <w:lang w:val="hr-BA"/>
        </w:rPr>
        <w:t>Službeni glasnik BiH'' broj 25/06</w:t>
      </w:r>
      <w:r>
        <w:rPr>
          <w:rFonts w:ascii="Cambria" w:hAnsi="Cambria" w:cs="Tahoma"/>
          <w:sz w:val="18"/>
          <w:szCs w:val="18"/>
          <w:lang w:val="hr-BA"/>
        </w:rPr>
        <w:t xml:space="preserve"> i 88/15</w:t>
      </w:r>
      <w:r w:rsidRPr="00C7166A">
        <w:rPr>
          <w:rFonts w:ascii="Cambria" w:hAnsi="Cambria" w:cs="Tahoma"/>
          <w:sz w:val="18"/>
          <w:szCs w:val="18"/>
          <w:lang w:val="hr-BA"/>
        </w:rPr>
        <w:t>.</w:t>
      </w:r>
    </w:p>
  </w:footnote>
  <w:footnote w:id="2">
    <w:p w:rsidR="00082701" w:rsidRPr="00F54575" w:rsidRDefault="00082701">
      <w:pPr>
        <w:pStyle w:val="Tekstfusnote"/>
        <w:rPr>
          <w:rFonts w:ascii="Cambria" w:hAnsi="Cambria"/>
        </w:rPr>
      </w:pPr>
      <w:r w:rsidRPr="00F54575">
        <w:rPr>
          <w:rStyle w:val="Referencafusnote"/>
          <w:rFonts w:ascii="Cambria" w:hAnsi="Cambria"/>
        </w:rPr>
        <w:footnoteRef/>
      </w:r>
      <w:r w:rsidRPr="00F54575">
        <w:rPr>
          <w:rFonts w:ascii="Cambria" w:hAnsi="Cambria"/>
        </w:rPr>
        <w:t xml:space="preserve"> čl.101 st. 1 </w:t>
      </w:r>
      <w:proofErr w:type="spellStart"/>
      <w:r w:rsidRPr="00F54575">
        <w:rPr>
          <w:rFonts w:ascii="Cambria" w:hAnsi="Cambria"/>
        </w:rPr>
        <w:t>toč</w:t>
      </w:r>
      <w:proofErr w:type="spellEnd"/>
      <w:r w:rsidRPr="00F54575">
        <w:rPr>
          <w:rFonts w:ascii="Cambria" w:hAnsi="Cambria"/>
        </w:rPr>
        <w:t>. a) Zakona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33C"/>
    <w:multiLevelType w:val="hybridMultilevel"/>
    <w:tmpl w:val="7012C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6C56ED"/>
    <w:multiLevelType w:val="hybridMultilevel"/>
    <w:tmpl w:val="A5C02CE0"/>
    <w:lvl w:ilvl="0" w:tplc="7AAA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54086"/>
    <w:multiLevelType w:val="hybridMultilevel"/>
    <w:tmpl w:val="0B926518"/>
    <w:lvl w:ilvl="0" w:tplc="958470B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C97B90"/>
    <w:multiLevelType w:val="hybridMultilevel"/>
    <w:tmpl w:val="2BD4CCD4"/>
    <w:lvl w:ilvl="0" w:tplc="8E340B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873D8"/>
    <w:multiLevelType w:val="hybridMultilevel"/>
    <w:tmpl w:val="14B840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432DCF"/>
    <w:multiLevelType w:val="hybridMultilevel"/>
    <w:tmpl w:val="10980AAE"/>
    <w:lvl w:ilvl="0" w:tplc="C80C1A4A">
      <w:numFmt w:val="bullet"/>
      <w:lvlText w:val="-"/>
      <w:lvlJc w:val="left"/>
      <w:pPr>
        <w:ind w:left="720" w:hanging="360"/>
      </w:pPr>
      <w:rPr>
        <w:rFonts w:ascii="Arial" w:eastAsia="Times New Roman"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49993FD6"/>
    <w:multiLevelType w:val="hybridMultilevel"/>
    <w:tmpl w:val="71CCFD38"/>
    <w:lvl w:ilvl="0" w:tplc="B01E1232">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857493A"/>
    <w:multiLevelType w:val="hybridMultilevel"/>
    <w:tmpl w:val="EE3E5A1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58D05D09"/>
    <w:multiLevelType w:val="hybridMultilevel"/>
    <w:tmpl w:val="FE6C1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763640"/>
    <w:multiLevelType w:val="hybridMultilevel"/>
    <w:tmpl w:val="CC42A962"/>
    <w:lvl w:ilvl="0" w:tplc="041A0001">
      <w:start w:val="1"/>
      <w:numFmt w:val="bullet"/>
      <w:lvlText w:val=""/>
      <w:lvlJc w:val="left"/>
      <w:pPr>
        <w:tabs>
          <w:tab w:val="num" w:pos="795"/>
        </w:tabs>
        <w:ind w:left="795" w:hanging="360"/>
      </w:pPr>
      <w:rPr>
        <w:rFonts w:ascii="Symbol" w:hAnsi="Symbol" w:hint="default"/>
      </w:rPr>
    </w:lvl>
    <w:lvl w:ilvl="1" w:tplc="041A0003" w:tentative="1">
      <w:start w:val="1"/>
      <w:numFmt w:val="bullet"/>
      <w:lvlText w:val="o"/>
      <w:lvlJc w:val="left"/>
      <w:pPr>
        <w:tabs>
          <w:tab w:val="num" w:pos="1515"/>
        </w:tabs>
        <w:ind w:left="1515" w:hanging="360"/>
      </w:pPr>
      <w:rPr>
        <w:rFonts w:ascii="Courier New" w:hAnsi="Courier New" w:cs="Courier New" w:hint="default"/>
      </w:rPr>
    </w:lvl>
    <w:lvl w:ilvl="2" w:tplc="041A0005" w:tentative="1">
      <w:start w:val="1"/>
      <w:numFmt w:val="bullet"/>
      <w:lvlText w:val=""/>
      <w:lvlJc w:val="left"/>
      <w:pPr>
        <w:tabs>
          <w:tab w:val="num" w:pos="2235"/>
        </w:tabs>
        <w:ind w:left="2235" w:hanging="360"/>
      </w:pPr>
      <w:rPr>
        <w:rFonts w:ascii="Wingdings" w:hAnsi="Wingdings" w:hint="default"/>
      </w:rPr>
    </w:lvl>
    <w:lvl w:ilvl="3" w:tplc="041A0001" w:tentative="1">
      <w:start w:val="1"/>
      <w:numFmt w:val="bullet"/>
      <w:lvlText w:val=""/>
      <w:lvlJc w:val="left"/>
      <w:pPr>
        <w:tabs>
          <w:tab w:val="num" w:pos="2955"/>
        </w:tabs>
        <w:ind w:left="2955" w:hanging="360"/>
      </w:pPr>
      <w:rPr>
        <w:rFonts w:ascii="Symbol" w:hAnsi="Symbol" w:hint="default"/>
      </w:rPr>
    </w:lvl>
    <w:lvl w:ilvl="4" w:tplc="041A0003" w:tentative="1">
      <w:start w:val="1"/>
      <w:numFmt w:val="bullet"/>
      <w:lvlText w:val="o"/>
      <w:lvlJc w:val="left"/>
      <w:pPr>
        <w:tabs>
          <w:tab w:val="num" w:pos="3675"/>
        </w:tabs>
        <w:ind w:left="3675" w:hanging="360"/>
      </w:pPr>
      <w:rPr>
        <w:rFonts w:ascii="Courier New" w:hAnsi="Courier New" w:cs="Courier New" w:hint="default"/>
      </w:rPr>
    </w:lvl>
    <w:lvl w:ilvl="5" w:tplc="041A0005" w:tentative="1">
      <w:start w:val="1"/>
      <w:numFmt w:val="bullet"/>
      <w:lvlText w:val=""/>
      <w:lvlJc w:val="left"/>
      <w:pPr>
        <w:tabs>
          <w:tab w:val="num" w:pos="4395"/>
        </w:tabs>
        <w:ind w:left="4395" w:hanging="360"/>
      </w:pPr>
      <w:rPr>
        <w:rFonts w:ascii="Wingdings" w:hAnsi="Wingdings" w:hint="default"/>
      </w:rPr>
    </w:lvl>
    <w:lvl w:ilvl="6" w:tplc="041A0001" w:tentative="1">
      <w:start w:val="1"/>
      <w:numFmt w:val="bullet"/>
      <w:lvlText w:val=""/>
      <w:lvlJc w:val="left"/>
      <w:pPr>
        <w:tabs>
          <w:tab w:val="num" w:pos="5115"/>
        </w:tabs>
        <w:ind w:left="5115" w:hanging="360"/>
      </w:pPr>
      <w:rPr>
        <w:rFonts w:ascii="Symbol" w:hAnsi="Symbol" w:hint="default"/>
      </w:rPr>
    </w:lvl>
    <w:lvl w:ilvl="7" w:tplc="041A0003" w:tentative="1">
      <w:start w:val="1"/>
      <w:numFmt w:val="bullet"/>
      <w:lvlText w:val="o"/>
      <w:lvlJc w:val="left"/>
      <w:pPr>
        <w:tabs>
          <w:tab w:val="num" w:pos="5835"/>
        </w:tabs>
        <w:ind w:left="5835" w:hanging="360"/>
      </w:pPr>
      <w:rPr>
        <w:rFonts w:ascii="Courier New" w:hAnsi="Courier New" w:cs="Courier New" w:hint="default"/>
      </w:rPr>
    </w:lvl>
    <w:lvl w:ilvl="8" w:tplc="041A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6B0D2A61"/>
    <w:multiLevelType w:val="hybridMultilevel"/>
    <w:tmpl w:val="889C60A2"/>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B9B5E33"/>
    <w:multiLevelType w:val="hybridMultilevel"/>
    <w:tmpl w:val="0B40089C"/>
    <w:lvl w:ilvl="0" w:tplc="72AEF17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137DF6"/>
    <w:multiLevelType w:val="hybridMultilevel"/>
    <w:tmpl w:val="43629D00"/>
    <w:lvl w:ilvl="0" w:tplc="72AEF17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36E0C9D"/>
    <w:multiLevelType w:val="hybridMultilevel"/>
    <w:tmpl w:val="2D904A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6F90017"/>
    <w:multiLevelType w:val="hybridMultilevel"/>
    <w:tmpl w:val="AAC48A82"/>
    <w:lvl w:ilvl="0" w:tplc="9F8C6268">
      <w:start w:val="4"/>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9422256"/>
    <w:multiLevelType w:val="singleLevel"/>
    <w:tmpl w:val="E7F89D16"/>
    <w:lvl w:ilvl="0">
      <w:numFmt w:val="bullet"/>
      <w:lvlText w:val="-"/>
      <w:lvlJc w:val="left"/>
      <w:pPr>
        <w:tabs>
          <w:tab w:val="num" w:pos="360"/>
        </w:tabs>
        <w:ind w:left="360" w:hanging="360"/>
      </w:pPr>
      <w:rPr>
        <w:rFonts w:hint="default"/>
      </w:rPr>
    </w:lvl>
  </w:abstractNum>
  <w:abstractNum w:abstractNumId="16" w15:restartNumberingAfterBreak="0">
    <w:nsid w:val="7B344FFE"/>
    <w:multiLevelType w:val="hybridMultilevel"/>
    <w:tmpl w:val="1F82FF52"/>
    <w:lvl w:ilvl="0" w:tplc="85184C5A">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CB27954"/>
    <w:multiLevelType w:val="hybridMultilevel"/>
    <w:tmpl w:val="B0343FAA"/>
    <w:lvl w:ilvl="0" w:tplc="85184C5A">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7"/>
  </w:num>
  <w:num w:numId="5">
    <w:abstractNumId w:val="2"/>
  </w:num>
  <w:num w:numId="6">
    <w:abstractNumId w:val="3"/>
  </w:num>
  <w:num w:numId="7">
    <w:abstractNumId w:val="0"/>
  </w:num>
  <w:num w:numId="8">
    <w:abstractNumId w:val="15"/>
  </w:num>
  <w:num w:numId="9">
    <w:abstractNumId w:val="9"/>
  </w:num>
  <w:num w:numId="10">
    <w:abstractNumId w:val="12"/>
  </w:num>
  <w:num w:numId="11">
    <w:abstractNumId w:val="11"/>
  </w:num>
  <w:num w:numId="12">
    <w:abstractNumId w:val="5"/>
  </w:num>
  <w:num w:numId="13">
    <w:abstractNumId w:val="8"/>
  </w:num>
  <w:num w:numId="14">
    <w:abstractNumId w:val="10"/>
  </w:num>
  <w:num w:numId="15">
    <w:abstractNumId w:val="7"/>
  </w:num>
  <w:num w:numId="16">
    <w:abstractNumId w:val="13"/>
  </w:num>
  <w:num w:numId="17">
    <w:abstractNumId w:val="14"/>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42"/>
    <w:rsid w:val="000125CE"/>
    <w:rsid w:val="00014AC2"/>
    <w:rsid w:val="0001714A"/>
    <w:rsid w:val="000308F4"/>
    <w:rsid w:val="0003367D"/>
    <w:rsid w:val="00035E6E"/>
    <w:rsid w:val="0004010A"/>
    <w:rsid w:val="000421E7"/>
    <w:rsid w:val="0004709C"/>
    <w:rsid w:val="000539C6"/>
    <w:rsid w:val="00061DB3"/>
    <w:rsid w:val="00082701"/>
    <w:rsid w:val="00084414"/>
    <w:rsid w:val="00085753"/>
    <w:rsid w:val="00086DF7"/>
    <w:rsid w:val="00092E7A"/>
    <w:rsid w:val="00093C95"/>
    <w:rsid w:val="000A2B82"/>
    <w:rsid w:val="000A7315"/>
    <w:rsid w:val="000B127E"/>
    <w:rsid w:val="000B2511"/>
    <w:rsid w:val="000B433B"/>
    <w:rsid w:val="000B4355"/>
    <w:rsid w:val="000B6A05"/>
    <w:rsid w:val="000C080D"/>
    <w:rsid w:val="000C1DA9"/>
    <w:rsid w:val="000D28B1"/>
    <w:rsid w:val="000D4E88"/>
    <w:rsid w:val="000D7061"/>
    <w:rsid w:val="000E07CA"/>
    <w:rsid w:val="000E2753"/>
    <w:rsid w:val="000E2E92"/>
    <w:rsid w:val="000E3DAA"/>
    <w:rsid w:val="000E791B"/>
    <w:rsid w:val="000F0F19"/>
    <w:rsid w:val="000F314C"/>
    <w:rsid w:val="001060DB"/>
    <w:rsid w:val="001103FC"/>
    <w:rsid w:val="001115EC"/>
    <w:rsid w:val="00120C3A"/>
    <w:rsid w:val="001306AD"/>
    <w:rsid w:val="0013092E"/>
    <w:rsid w:val="00131839"/>
    <w:rsid w:val="001344AF"/>
    <w:rsid w:val="00135ADC"/>
    <w:rsid w:val="00136D5F"/>
    <w:rsid w:val="001445F9"/>
    <w:rsid w:val="00144FB8"/>
    <w:rsid w:val="00145187"/>
    <w:rsid w:val="00145CEC"/>
    <w:rsid w:val="00146107"/>
    <w:rsid w:val="001479E5"/>
    <w:rsid w:val="00151035"/>
    <w:rsid w:val="00151D4A"/>
    <w:rsid w:val="00153298"/>
    <w:rsid w:val="00153842"/>
    <w:rsid w:val="001539DF"/>
    <w:rsid w:val="001632B2"/>
    <w:rsid w:val="001635A2"/>
    <w:rsid w:val="00165006"/>
    <w:rsid w:val="00167870"/>
    <w:rsid w:val="00170C6E"/>
    <w:rsid w:val="00173B02"/>
    <w:rsid w:val="0017498A"/>
    <w:rsid w:val="001769B1"/>
    <w:rsid w:val="001776D7"/>
    <w:rsid w:val="001803F8"/>
    <w:rsid w:val="00180ACE"/>
    <w:rsid w:val="00191EE3"/>
    <w:rsid w:val="001931B4"/>
    <w:rsid w:val="001950AF"/>
    <w:rsid w:val="001A26E8"/>
    <w:rsid w:val="001A3D9D"/>
    <w:rsid w:val="001A4014"/>
    <w:rsid w:val="001A6651"/>
    <w:rsid w:val="001A6FE2"/>
    <w:rsid w:val="001B1EEB"/>
    <w:rsid w:val="001C6A86"/>
    <w:rsid w:val="001C7CA6"/>
    <w:rsid w:val="001D11DE"/>
    <w:rsid w:val="001D1840"/>
    <w:rsid w:val="001D364F"/>
    <w:rsid w:val="001D591A"/>
    <w:rsid w:val="001D6051"/>
    <w:rsid w:val="001D68AD"/>
    <w:rsid w:val="001E1F3C"/>
    <w:rsid w:val="001E39F9"/>
    <w:rsid w:val="001E71B9"/>
    <w:rsid w:val="001F000A"/>
    <w:rsid w:val="001F002D"/>
    <w:rsid w:val="001F4DA5"/>
    <w:rsid w:val="001F6541"/>
    <w:rsid w:val="00203F08"/>
    <w:rsid w:val="00205B85"/>
    <w:rsid w:val="00210AD4"/>
    <w:rsid w:val="00214103"/>
    <w:rsid w:val="0023158D"/>
    <w:rsid w:val="00232647"/>
    <w:rsid w:val="002465FF"/>
    <w:rsid w:val="00255E2F"/>
    <w:rsid w:val="00270535"/>
    <w:rsid w:val="00271303"/>
    <w:rsid w:val="002747F9"/>
    <w:rsid w:val="002756A1"/>
    <w:rsid w:val="00280B82"/>
    <w:rsid w:val="00282B12"/>
    <w:rsid w:val="0028305F"/>
    <w:rsid w:val="00287BEA"/>
    <w:rsid w:val="002903C6"/>
    <w:rsid w:val="00290558"/>
    <w:rsid w:val="00292024"/>
    <w:rsid w:val="002920C6"/>
    <w:rsid w:val="00297404"/>
    <w:rsid w:val="002A159A"/>
    <w:rsid w:val="002A31CD"/>
    <w:rsid w:val="002A6C6D"/>
    <w:rsid w:val="002B0F64"/>
    <w:rsid w:val="002B1C6D"/>
    <w:rsid w:val="002B75D1"/>
    <w:rsid w:val="002C422B"/>
    <w:rsid w:val="002C4DFC"/>
    <w:rsid w:val="002D2753"/>
    <w:rsid w:val="002D3C7E"/>
    <w:rsid w:val="002E5006"/>
    <w:rsid w:val="002E52DA"/>
    <w:rsid w:val="002E58EE"/>
    <w:rsid w:val="002E6FCB"/>
    <w:rsid w:val="002E7760"/>
    <w:rsid w:val="002F1704"/>
    <w:rsid w:val="002F5C92"/>
    <w:rsid w:val="003026C5"/>
    <w:rsid w:val="00303A53"/>
    <w:rsid w:val="00303F4B"/>
    <w:rsid w:val="0031731E"/>
    <w:rsid w:val="0032070E"/>
    <w:rsid w:val="003215EF"/>
    <w:rsid w:val="00322B9E"/>
    <w:rsid w:val="00324260"/>
    <w:rsid w:val="00330C62"/>
    <w:rsid w:val="003355DA"/>
    <w:rsid w:val="003408F4"/>
    <w:rsid w:val="0034103E"/>
    <w:rsid w:val="00343E3E"/>
    <w:rsid w:val="00350BF4"/>
    <w:rsid w:val="00350E67"/>
    <w:rsid w:val="00360CFD"/>
    <w:rsid w:val="003648C3"/>
    <w:rsid w:val="003758DB"/>
    <w:rsid w:val="003770EF"/>
    <w:rsid w:val="003821FB"/>
    <w:rsid w:val="00382408"/>
    <w:rsid w:val="00392956"/>
    <w:rsid w:val="003933BD"/>
    <w:rsid w:val="003970CF"/>
    <w:rsid w:val="003A08ED"/>
    <w:rsid w:val="003A4ABB"/>
    <w:rsid w:val="003A7E59"/>
    <w:rsid w:val="003B192D"/>
    <w:rsid w:val="003C1F66"/>
    <w:rsid w:val="003C4E4E"/>
    <w:rsid w:val="003C6BAF"/>
    <w:rsid w:val="003C6E03"/>
    <w:rsid w:val="003C7605"/>
    <w:rsid w:val="003D0E85"/>
    <w:rsid w:val="003D46A7"/>
    <w:rsid w:val="003D7446"/>
    <w:rsid w:val="003E20C4"/>
    <w:rsid w:val="003F1AF5"/>
    <w:rsid w:val="003F29F9"/>
    <w:rsid w:val="003F2E3A"/>
    <w:rsid w:val="003F3524"/>
    <w:rsid w:val="003F7791"/>
    <w:rsid w:val="003F79E3"/>
    <w:rsid w:val="003F7FB4"/>
    <w:rsid w:val="00400D73"/>
    <w:rsid w:val="0040665C"/>
    <w:rsid w:val="0040688A"/>
    <w:rsid w:val="00407CA3"/>
    <w:rsid w:val="00413165"/>
    <w:rsid w:val="00421C6A"/>
    <w:rsid w:val="00426A13"/>
    <w:rsid w:val="004272CF"/>
    <w:rsid w:val="004318E0"/>
    <w:rsid w:val="00431FBC"/>
    <w:rsid w:val="00432389"/>
    <w:rsid w:val="00432E4F"/>
    <w:rsid w:val="00432E94"/>
    <w:rsid w:val="00434313"/>
    <w:rsid w:val="00441A98"/>
    <w:rsid w:val="00442375"/>
    <w:rsid w:val="00444CE0"/>
    <w:rsid w:val="004453AA"/>
    <w:rsid w:val="00445A7F"/>
    <w:rsid w:val="00452BAB"/>
    <w:rsid w:val="004563C2"/>
    <w:rsid w:val="00460762"/>
    <w:rsid w:val="004624CE"/>
    <w:rsid w:val="00466537"/>
    <w:rsid w:val="0046762B"/>
    <w:rsid w:val="004735C2"/>
    <w:rsid w:val="00474A21"/>
    <w:rsid w:val="004762F7"/>
    <w:rsid w:val="00476309"/>
    <w:rsid w:val="004765CB"/>
    <w:rsid w:val="0047719C"/>
    <w:rsid w:val="00480122"/>
    <w:rsid w:val="00481226"/>
    <w:rsid w:val="004819F4"/>
    <w:rsid w:val="00482E84"/>
    <w:rsid w:val="00486DE3"/>
    <w:rsid w:val="00492240"/>
    <w:rsid w:val="004A0A98"/>
    <w:rsid w:val="004A598B"/>
    <w:rsid w:val="004A625D"/>
    <w:rsid w:val="004A76F3"/>
    <w:rsid w:val="004B1E04"/>
    <w:rsid w:val="004B2A03"/>
    <w:rsid w:val="004B4AE4"/>
    <w:rsid w:val="004C3A34"/>
    <w:rsid w:val="004C4394"/>
    <w:rsid w:val="004C4E20"/>
    <w:rsid w:val="004C5D65"/>
    <w:rsid w:val="004D00FB"/>
    <w:rsid w:val="004D4A12"/>
    <w:rsid w:val="004E1482"/>
    <w:rsid w:val="004E1C6E"/>
    <w:rsid w:val="004E20E2"/>
    <w:rsid w:val="004E7B83"/>
    <w:rsid w:val="00505722"/>
    <w:rsid w:val="00505D8C"/>
    <w:rsid w:val="00511BAF"/>
    <w:rsid w:val="0051614E"/>
    <w:rsid w:val="0051781E"/>
    <w:rsid w:val="00517BEA"/>
    <w:rsid w:val="00522FAA"/>
    <w:rsid w:val="005246E5"/>
    <w:rsid w:val="00527145"/>
    <w:rsid w:val="00527DA6"/>
    <w:rsid w:val="0053185F"/>
    <w:rsid w:val="0053256C"/>
    <w:rsid w:val="005354AC"/>
    <w:rsid w:val="00537388"/>
    <w:rsid w:val="005431B1"/>
    <w:rsid w:val="005437D0"/>
    <w:rsid w:val="005515E5"/>
    <w:rsid w:val="00552B16"/>
    <w:rsid w:val="00556BDF"/>
    <w:rsid w:val="00557937"/>
    <w:rsid w:val="00560E2E"/>
    <w:rsid w:val="0056146C"/>
    <w:rsid w:val="00562A33"/>
    <w:rsid w:val="005646BD"/>
    <w:rsid w:val="0056492F"/>
    <w:rsid w:val="00564BE8"/>
    <w:rsid w:val="00564BED"/>
    <w:rsid w:val="005711BB"/>
    <w:rsid w:val="00571E00"/>
    <w:rsid w:val="00572B4E"/>
    <w:rsid w:val="00572E0B"/>
    <w:rsid w:val="00584D4C"/>
    <w:rsid w:val="005954A9"/>
    <w:rsid w:val="00595D9A"/>
    <w:rsid w:val="005A0D13"/>
    <w:rsid w:val="005A0D45"/>
    <w:rsid w:val="005A1FFB"/>
    <w:rsid w:val="005A3B52"/>
    <w:rsid w:val="005A41D2"/>
    <w:rsid w:val="005B0EE8"/>
    <w:rsid w:val="005B5A27"/>
    <w:rsid w:val="005B645F"/>
    <w:rsid w:val="005B6835"/>
    <w:rsid w:val="005D4DDC"/>
    <w:rsid w:val="005D5157"/>
    <w:rsid w:val="005E15E2"/>
    <w:rsid w:val="005E6078"/>
    <w:rsid w:val="005E7A0F"/>
    <w:rsid w:val="005F43D5"/>
    <w:rsid w:val="005F6758"/>
    <w:rsid w:val="00604C6B"/>
    <w:rsid w:val="00607187"/>
    <w:rsid w:val="006216E9"/>
    <w:rsid w:val="006312FD"/>
    <w:rsid w:val="00633572"/>
    <w:rsid w:val="00635C06"/>
    <w:rsid w:val="006366DB"/>
    <w:rsid w:val="00642F12"/>
    <w:rsid w:val="00644CE8"/>
    <w:rsid w:val="00645DF8"/>
    <w:rsid w:val="00646816"/>
    <w:rsid w:val="00646D9C"/>
    <w:rsid w:val="006506E1"/>
    <w:rsid w:val="00651C3C"/>
    <w:rsid w:val="00652176"/>
    <w:rsid w:val="00652330"/>
    <w:rsid w:val="00655A14"/>
    <w:rsid w:val="0066059C"/>
    <w:rsid w:val="00661446"/>
    <w:rsid w:val="00670034"/>
    <w:rsid w:val="0067179E"/>
    <w:rsid w:val="00676BD0"/>
    <w:rsid w:val="00681EF5"/>
    <w:rsid w:val="00681F03"/>
    <w:rsid w:val="0068221F"/>
    <w:rsid w:val="00682E1A"/>
    <w:rsid w:val="00685138"/>
    <w:rsid w:val="00685988"/>
    <w:rsid w:val="006878ED"/>
    <w:rsid w:val="00696168"/>
    <w:rsid w:val="0069777B"/>
    <w:rsid w:val="006A1832"/>
    <w:rsid w:val="006A2395"/>
    <w:rsid w:val="006A42D2"/>
    <w:rsid w:val="006A692B"/>
    <w:rsid w:val="006C150F"/>
    <w:rsid w:val="006C2E15"/>
    <w:rsid w:val="006C6A51"/>
    <w:rsid w:val="006C77EF"/>
    <w:rsid w:val="006C7CA1"/>
    <w:rsid w:val="006D2252"/>
    <w:rsid w:val="006E38C7"/>
    <w:rsid w:val="006E57F4"/>
    <w:rsid w:val="006F2A59"/>
    <w:rsid w:val="006F73A2"/>
    <w:rsid w:val="006F7F8C"/>
    <w:rsid w:val="00704133"/>
    <w:rsid w:val="00706F2D"/>
    <w:rsid w:val="00707746"/>
    <w:rsid w:val="00713CE6"/>
    <w:rsid w:val="007176DD"/>
    <w:rsid w:val="00717ABF"/>
    <w:rsid w:val="00723148"/>
    <w:rsid w:val="00726F7A"/>
    <w:rsid w:val="00727841"/>
    <w:rsid w:val="00727D10"/>
    <w:rsid w:val="00731920"/>
    <w:rsid w:val="00731B3E"/>
    <w:rsid w:val="00740226"/>
    <w:rsid w:val="00740E8F"/>
    <w:rsid w:val="007475EC"/>
    <w:rsid w:val="007504AE"/>
    <w:rsid w:val="00751FEF"/>
    <w:rsid w:val="007634F6"/>
    <w:rsid w:val="0077740B"/>
    <w:rsid w:val="0078506C"/>
    <w:rsid w:val="0078742C"/>
    <w:rsid w:val="0079512C"/>
    <w:rsid w:val="0079725E"/>
    <w:rsid w:val="007A1881"/>
    <w:rsid w:val="007A599F"/>
    <w:rsid w:val="007B02A8"/>
    <w:rsid w:val="007B0579"/>
    <w:rsid w:val="007B13FA"/>
    <w:rsid w:val="007B5AC6"/>
    <w:rsid w:val="007B64B0"/>
    <w:rsid w:val="007B7718"/>
    <w:rsid w:val="007C30FF"/>
    <w:rsid w:val="007C495B"/>
    <w:rsid w:val="007D0DF6"/>
    <w:rsid w:val="007D3310"/>
    <w:rsid w:val="007F6EDF"/>
    <w:rsid w:val="007F798B"/>
    <w:rsid w:val="00806111"/>
    <w:rsid w:val="00814AAF"/>
    <w:rsid w:val="008161B8"/>
    <w:rsid w:val="00817FAF"/>
    <w:rsid w:val="00820DDF"/>
    <w:rsid w:val="00823452"/>
    <w:rsid w:val="00823B63"/>
    <w:rsid w:val="00831E92"/>
    <w:rsid w:val="008348B2"/>
    <w:rsid w:val="00836550"/>
    <w:rsid w:val="00841E8F"/>
    <w:rsid w:val="00844A81"/>
    <w:rsid w:val="00845E7F"/>
    <w:rsid w:val="00850140"/>
    <w:rsid w:val="008512E9"/>
    <w:rsid w:val="00852C22"/>
    <w:rsid w:val="00854CD2"/>
    <w:rsid w:val="0085653C"/>
    <w:rsid w:val="00856B21"/>
    <w:rsid w:val="008601A3"/>
    <w:rsid w:val="00863BD0"/>
    <w:rsid w:val="00871D01"/>
    <w:rsid w:val="00872637"/>
    <w:rsid w:val="00872BE3"/>
    <w:rsid w:val="00875418"/>
    <w:rsid w:val="008774B2"/>
    <w:rsid w:val="00880380"/>
    <w:rsid w:val="008825F3"/>
    <w:rsid w:val="00884E60"/>
    <w:rsid w:val="00892988"/>
    <w:rsid w:val="008932BB"/>
    <w:rsid w:val="00894D05"/>
    <w:rsid w:val="00897873"/>
    <w:rsid w:val="008A2137"/>
    <w:rsid w:val="008A25D6"/>
    <w:rsid w:val="008A5C4F"/>
    <w:rsid w:val="008A79B9"/>
    <w:rsid w:val="008B2FFF"/>
    <w:rsid w:val="008B3B1A"/>
    <w:rsid w:val="008B7419"/>
    <w:rsid w:val="008B7CEC"/>
    <w:rsid w:val="008C5503"/>
    <w:rsid w:val="008C5B41"/>
    <w:rsid w:val="008D2E03"/>
    <w:rsid w:val="008E23E0"/>
    <w:rsid w:val="008E2428"/>
    <w:rsid w:val="008E42B8"/>
    <w:rsid w:val="008E4D0F"/>
    <w:rsid w:val="008E73EF"/>
    <w:rsid w:val="008E7E94"/>
    <w:rsid w:val="008F046C"/>
    <w:rsid w:val="008F1244"/>
    <w:rsid w:val="008F1BFC"/>
    <w:rsid w:val="008F3033"/>
    <w:rsid w:val="008F55D7"/>
    <w:rsid w:val="008F6F0A"/>
    <w:rsid w:val="008F7159"/>
    <w:rsid w:val="00900DAA"/>
    <w:rsid w:val="0091205F"/>
    <w:rsid w:val="0091486E"/>
    <w:rsid w:val="0091732F"/>
    <w:rsid w:val="00921058"/>
    <w:rsid w:val="0092554E"/>
    <w:rsid w:val="00931C20"/>
    <w:rsid w:val="00932359"/>
    <w:rsid w:val="00942342"/>
    <w:rsid w:val="00947A0B"/>
    <w:rsid w:val="009516B3"/>
    <w:rsid w:val="009557BC"/>
    <w:rsid w:val="00955C8D"/>
    <w:rsid w:val="009619A7"/>
    <w:rsid w:val="00963D85"/>
    <w:rsid w:val="00964605"/>
    <w:rsid w:val="0097010C"/>
    <w:rsid w:val="009740CB"/>
    <w:rsid w:val="00977FE2"/>
    <w:rsid w:val="0098072E"/>
    <w:rsid w:val="0098554C"/>
    <w:rsid w:val="00986AAD"/>
    <w:rsid w:val="00987572"/>
    <w:rsid w:val="00990315"/>
    <w:rsid w:val="009904F3"/>
    <w:rsid w:val="00996454"/>
    <w:rsid w:val="009A028B"/>
    <w:rsid w:val="009A4308"/>
    <w:rsid w:val="009B3B2E"/>
    <w:rsid w:val="009B3FBD"/>
    <w:rsid w:val="009B49B4"/>
    <w:rsid w:val="009B4AB9"/>
    <w:rsid w:val="009C198A"/>
    <w:rsid w:val="009D08D4"/>
    <w:rsid w:val="009D1756"/>
    <w:rsid w:val="009D41F8"/>
    <w:rsid w:val="009D6F0C"/>
    <w:rsid w:val="009E391F"/>
    <w:rsid w:val="009E5411"/>
    <w:rsid w:val="009E69C1"/>
    <w:rsid w:val="009F2462"/>
    <w:rsid w:val="009F298E"/>
    <w:rsid w:val="009F64E1"/>
    <w:rsid w:val="009F6627"/>
    <w:rsid w:val="00A00115"/>
    <w:rsid w:val="00A02302"/>
    <w:rsid w:val="00A05552"/>
    <w:rsid w:val="00A06340"/>
    <w:rsid w:val="00A0700B"/>
    <w:rsid w:val="00A17119"/>
    <w:rsid w:val="00A17759"/>
    <w:rsid w:val="00A250A6"/>
    <w:rsid w:val="00A257CA"/>
    <w:rsid w:val="00A314FB"/>
    <w:rsid w:val="00A321B8"/>
    <w:rsid w:val="00A36A85"/>
    <w:rsid w:val="00A40BF4"/>
    <w:rsid w:val="00A4240C"/>
    <w:rsid w:val="00A426FD"/>
    <w:rsid w:val="00A539EC"/>
    <w:rsid w:val="00A53D8B"/>
    <w:rsid w:val="00A63441"/>
    <w:rsid w:val="00A70D57"/>
    <w:rsid w:val="00A76893"/>
    <w:rsid w:val="00A85038"/>
    <w:rsid w:val="00A85F5B"/>
    <w:rsid w:val="00A91718"/>
    <w:rsid w:val="00AB3C99"/>
    <w:rsid w:val="00AB5A96"/>
    <w:rsid w:val="00AB7882"/>
    <w:rsid w:val="00AC11A5"/>
    <w:rsid w:val="00AC1D47"/>
    <w:rsid w:val="00AC7CFA"/>
    <w:rsid w:val="00AD548B"/>
    <w:rsid w:val="00AD7D8A"/>
    <w:rsid w:val="00AE0828"/>
    <w:rsid w:val="00AF5094"/>
    <w:rsid w:val="00AF654D"/>
    <w:rsid w:val="00B0187C"/>
    <w:rsid w:val="00B01A9D"/>
    <w:rsid w:val="00B0686D"/>
    <w:rsid w:val="00B10B79"/>
    <w:rsid w:val="00B14005"/>
    <w:rsid w:val="00B1458E"/>
    <w:rsid w:val="00B1595A"/>
    <w:rsid w:val="00B17A3A"/>
    <w:rsid w:val="00B21960"/>
    <w:rsid w:val="00B23F52"/>
    <w:rsid w:val="00B2405F"/>
    <w:rsid w:val="00B24CFD"/>
    <w:rsid w:val="00B279E6"/>
    <w:rsid w:val="00B27D66"/>
    <w:rsid w:val="00B30E29"/>
    <w:rsid w:val="00B44B23"/>
    <w:rsid w:val="00B531EF"/>
    <w:rsid w:val="00B60AFC"/>
    <w:rsid w:val="00B70A50"/>
    <w:rsid w:val="00B9743C"/>
    <w:rsid w:val="00BA5350"/>
    <w:rsid w:val="00BA547B"/>
    <w:rsid w:val="00BA760E"/>
    <w:rsid w:val="00BB244B"/>
    <w:rsid w:val="00BB567D"/>
    <w:rsid w:val="00BB58FD"/>
    <w:rsid w:val="00BB5ABE"/>
    <w:rsid w:val="00BB63F4"/>
    <w:rsid w:val="00BB6A0F"/>
    <w:rsid w:val="00BC186F"/>
    <w:rsid w:val="00BC2717"/>
    <w:rsid w:val="00BC5A16"/>
    <w:rsid w:val="00BD05FB"/>
    <w:rsid w:val="00BD54D6"/>
    <w:rsid w:val="00BD7B58"/>
    <w:rsid w:val="00BE1199"/>
    <w:rsid w:val="00BE45DB"/>
    <w:rsid w:val="00BF03FB"/>
    <w:rsid w:val="00BF2057"/>
    <w:rsid w:val="00BF2150"/>
    <w:rsid w:val="00BF4A10"/>
    <w:rsid w:val="00BF4B9C"/>
    <w:rsid w:val="00BF7D81"/>
    <w:rsid w:val="00C03F75"/>
    <w:rsid w:val="00C0537D"/>
    <w:rsid w:val="00C07034"/>
    <w:rsid w:val="00C1555C"/>
    <w:rsid w:val="00C2419E"/>
    <w:rsid w:val="00C26336"/>
    <w:rsid w:val="00C415E8"/>
    <w:rsid w:val="00C43554"/>
    <w:rsid w:val="00C444EA"/>
    <w:rsid w:val="00C50858"/>
    <w:rsid w:val="00C53300"/>
    <w:rsid w:val="00C53C16"/>
    <w:rsid w:val="00C569B4"/>
    <w:rsid w:val="00C62304"/>
    <w:rsid w:val="00C65323"/>
    <w:rsid w:val="00C7166A"/>
    <w:rsid w:val="00C7169D"/>
    <w:rsid w:val="00C71DF7"/>
    <w:rsid w:val="00C75728"/>
    <w:rsid w:val="00C91869"/>
    <w:rsid w:val="00C9346A"/>
    <w:rsid w:val="00C93D5C"/>
    <w:rsid w:val="00C94ED5"/>
    <w:rsid w:val="00CA236D"/>
    <w:rsid w:val="00CB3A2C"/>
    <w:rsid w:val="00CC1601"/>
    <w:rsid w:val="00CC2662"/>
    <w:rsid w:val="00CC47AE"/>
    <w:rsid w:val="00CD2300"/>
    <w:rsid w:val="00CE0368"/>
    <w:rsid w:val="00CE746F"/>
    <w:rsid w:val="00CF729E"/>
    <w:rsid w:val="00D01C76"/>
    <w:rsid w:val="00D033DD"/>
    <w:rsid w:val="00D07D47"/>
    <w:rsid w:val="00D12762"/>
    <w:rsid w:val="00D15FCD"/>
    <w:rsid w:val="00D25772"/>
    <w:rsid w:val="00D30517"/>
    <w:rsid w:val="00D30F9A"/>
    <w:rsid w:val="00D31650"/>
    <w:rsid w:val="00D316B8"/>
    <w:rsid w:val="00D37C2A"/>
    <w:rsid w:val="00D400D9"/>
    <w:rsid w:val="00D45CC3"/>
    <w:rsid w:val="00D45FC4"/>
    <w:rsid w:val="00D46655"/>
    <w:rsid w:val="00D5477F"/>
    <w:rsid w:val="00D56C77"/>
    <w:rsid w:val="00D60C7E"/>
    <w:rsid w:val="00D61DB2"/>
    <w:rsid w:val="00D62966"/>
    <w:rsid w:val="00D63B53"/>
    <w:rsid w:val="00D66F70"/>
    <w:rsid w:val="00D82DED"/>
    <w:rsid w:val="00D836B8"/>
    <w:rsid w:val="00D95AA3"/>
    <w:rsid w:val="00DA1B88"/>
    <w:rsid w:val="00DA20F4"/>
    <w:rsid w:val="00DA33D1"/>
    <w:rsid w:val="00DA777D"/>
    <w:rsid w:val="00DB5857"/>
    <w:rsid w:val="00DB594B"/>
    <w:rsid w:val="00DC4CA1"/>
    <w:rsid w:val="00DD31E2"/>
    <w:rsid w:val="00DD320B"/>
    <w:rsid w:val="00DD7765"/>
    <w:rsid w:val="00DE0917"/>
    <w:rsid w:val="00DE2D78"/>
    <w:rsid w:val="00DF49AC"/>
    <w:rsid w:val="00DF5036"/>
    <w:rsid w:val="00DF691E"/>
    <w:rsid w:val="00E02546"/>
    <w:rsid w:val="00E11AF6"/>
    <w:rsid w:val="00E13AF7"/>
    <w:rsid w:val="00E14E6C"/>
    <w:rsid w:val="00E17164"/>
    <w:rsid w:val="00E17476"/>
    <w:rsid w:val="00E17FFB"/>
    <w:rsid w:val="00E2177E"/>
    <w:rsid w:val="00E258A2"/>
    <w:rsid w:val="00E27000"/>
    <w:rsid w:val="00E276ED"/>
    <w:rsid w:val="00E33F5F"/>
    <w:rsid w:val="00E3618E"/>
    <w:rsid w:val="00E377DB"/>
    <w:rsid w:val="00E37B63"/>
    <w:rsid w:val="00E46499"/>
    <w:rsid w:val="00E472E0"/>
    <w:rsid w:val="00E507B7"/>
    <w:rsid w:val="00E56468"/>
    <w:rsid w:val="00E66091"/>
    <w:rsid w:val="00E70A13"/>
    <w:rsid w:val="00E70CD9"/>
    <w:rsid w:val="00E73600"/>
    <w:rsid w:val="00E73D6A"/>
    <w:rsid w:val="00E74432"/>
    <w:rsid w:val="00E74FA3"/>
    <w:rsid w:val="00E8268C"/>
    <w:rsid w:val="00E93E72"/>
    <w:rsid w:val="00E945D7"/>
    <w:rsid w:val="00EA1832"/>
    <w:rsid w:val="00EA3B02"/>
    <w:rsid w:val="00EA61AA"/>
    <w:rsid w:val="00EB0111"/>
    <w:rsid w:val="00EB7A45"/>
    <w:rsid w:val="00EC1DE3"/>
    <w:rsid w:val="00EC4DBC"/>
    <w:rsid w:val="00EC55AD"/>
    <w:rsid w:val="00EC74F8"/>
    <w:rsid w:val="00ED46E2"/>
    <w:rsid w:val="00EE33B8"/>
    <w:rsid w:val="00EE565C"/>
    <w:rsid w:val="00EE720D"/>
    <w:rsid w:val="00EE7FEB"/>
    <w:rsid w:val="00EF01DB"/>
    <w:rsid w:val="00EF26CA"/>
    <w:rsid w:val="00F02261"/>
    <w:rsid w:val="00F04675"/>
    <w:rsid w:val="00F064A8"/>
    <w:rsid w:val="00F079AB"/>
    <w:rsid w:val="00F118F0"/>
    <w:rsid w:val="00F13AE1"/>
    <w:rsid w:val="00F154E6"/>
    <w:rsid w:val="00F23CC3"/>
    <w:rsid w:val="00F2478D"/>
    <w:rsid w:val="00F258F6"/>
    <w:rsid w:val="00F316BE"/>
    <w:rsid w:val="00F323E8"/>
    <w:rsid w:val="00F33E80"/>
    <w:rsid w:val="00F349FA"/>
    <w:rsid w:val="00F356E3"/>
    <w:rsid w:val="00F50083"/>
    <w:rsid w:val="00F50BA8"/>
    <w:rsid w:val="00F52FAA"/>
    <w:rsid w:val="00F54575"/>
    <w:rsid w:val="00F605F9"/>
    <w:rsid w:val="00F60ACD"/>
    <w:rsid w:val="00F654FA"/>
    <w:rsid w:val="00F70470"/>
    <w:rsid w:val="00F72BF9"/>
    <w:rsid w:val="00F73D51"/>
    <w:rsid w:val="00F74604"/>
    <w:rsid w:val="00F74BAB"/>
    <w:rsid w:val="00F76747"/>
    <w:rsid w:val="00F77008"/>
    <w:rsid w:val="00F770BE"/>
    <w:rsid w:val="00F770FD"/>
    <w:rsid w:val="00F9262B"/>
    <w:rsid w:val="00F92DE1"/>
    <w:rsid w:val="00F945CC"/>
    <w:rsid w:val="00F97883"/>
    <w:rsid w:val="00F97B1F"/>
    <w:rsid w:val="00FA1453"/>
    <w:rsid w:val="00FA1508"/>
    <w:rsid w:val="00FA33F8"/>
    <w:rsid w:val="00FA3B92"/>
    <w:rsid w:val="00FA4EBF"/>
    <w:rsid w:val="00FA550E"/>
    <w:rsid w:val="00FA55E8"/>
    <w:rsid w:val="00FA605B"/>
    <w:rsid w:val="00FA7EF8"/>
    <w:rsid w:val="00FB05E8"/>
    <w:rsid w:val="00FB314B"/>
    <w:rsid w:val="00FB3F89"/>
    <w:rsid w:val="00FB5752"/>
    <w:rsid w:val="00FB7397"/>
    <w:rsid w:val="00FC060F"/>
    <w:rsid w:val="00FC264A"/>
    <w:rsid w:val="00FD08FC"/>
    <w:rsid w:val="00FD0F78"/>
    <w:rsid w:val="00FD2C69"/>
    <w:rsid w:val="00FD47CB"/>
    <w:rsid w:val="00FD5F16"/>
    <w:rsid w:val="00FD625E"/>
    <w:rsid w:val="00FD6F10"/>
    <w:rsid w:val="00FE0A81"/>
    <w:rsid w:val="00FE267C"/>
    <w:rsid w:val="00FE4DD0"/>
    <w:rsid w:val="00FE69E5"/>
    <w:rsid w:val="00FF15EF"/>
    <w:rsid w:val="00FF2195"/>
    <w:rsid w:val="00FF24EF"/>
    <w:rsid w:val="00FF5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F5487"/>
  <w15:chartTrackingRefBased/>
  <w15:docId w15:val="{3A5D86FB-1096-47E6-BD15-D170AC98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88"/>
    <w:rPr>
      <w:sz w:val="24"/>
      <w:lang w:eastAsia="en-US"/>
    </w:rPr>
  </w:style>
  <w:style w:type="paragraph" w:styleId="Naslov1">
    <w:name w:val="heading 1"/>
    <w:basedOn w:val="Normal"/>
    <w:next w:val="Normal"/>
    <w:qFormat/>
    <w:pPr>
      <w:keepNext/>
      <w:jc w:val="right"/>
      <w:outlineLvl w:val="0"/>
    </w:pPr>
    <w:rPr>
      <w:rFonts w:ascii="Tahoma" w:hAnsi="Tahoma" w:cs="Tahoma"/>
      <w:u w:val="single"/>
    </w:rPr>
  </w:style>
  <w:style w:type="paragraph" w:styleId="Naslov2">
    <w:name w:val="heading 2"/>
    <w:basedOn w:val="Normal"/>
    <w:next w:val="Normal"/>
    <w:qFormat/>
    <w:pPr>
      <w:keepNext/>
      <w:jc w:val="right"/>
      <w:outlineLvl w:val="1"/>
    </w:pPr>
    <w:rPr>
      <w:rFonts w:ascii="Tahoma" w:hAnsi="Tahoma" w:cs="Tahoma"/>
      <w:sz w:val="28"/>
    </w:rPr>
  </w:style>
  <w:style w:type="paragraph" w:styleId="Naslov3">
    <w:name w:val="heading 3"/>
    <w:basedOn w:val="Normal"/>
    <w:next w:val="Normal"/>
    <w:link w:val="Naslov3Char"/>
    <w:qFormat/>
    <w:pPr>
      <w:keepNext/>
      <w:jc w:val="center"/>
      <w:outlineLvl w:val="2"/>
    </w:pPr>
    <w:rPr>
      <w:rFonts w:ascii="Tahoma" w:hAnsi="Tahoma" w:cs="Tahoma"/>
      <w:sz w:val="32"/>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character" w:styleId="Hiperveza">
    <w:name w:val="Hyperlink"/>
    <w:rPr>
      <w:color w:val="0000FF"/>
      <w:u w:val="single"/>
    </w:rPr>
  </w:style>
  <w:style w:type="paragraph" w:styleId="Odlomakpopisa">
    <w:name w:val="List Paragraph"/>
    <w:basedOn w:val="Normal"/>
    <w:qFormat/>
    <w:rsid w:val="00E33F5F"/>
    <w:pPr>
      <w:spacing w:after="200"/>
      <w:ind w:left="720"/>
    </w:pPr>
    <w:rPr>
      <w:rFonts w:ascii="Calibri" w:hAnsi="Calibri"/>
      <w:sz w:val="22"/>
      <w:szCs w:val="22"/>
      <w:lang w:val="en-US"/>
    </w:rPr>
  </w:style>
  <w:style w:type="paragraph" w:styleId="StandardWeb">
    <w:name w:val="Normal (Web)"/>
    <w:basedOn w:val="Normal"/>
    <w:rsid w:val="00894D05"/>
    <w:pPr>
      <w:spacing w:before="100" w:beforeAutospacing="1" w:after="100" w:afterAutospacing="1"/>
    </w:pPr>
    <w:rPr>
      <w:szCs w:val="24"/>
      <w:lang w:eastAsia="hr-HR"/>
    </w:rPr>
  </w:style>
  <w:style w:type="paragraph" w:customStyle="1" w:styleId="lijevakucica">
    <w:name w:val="lijeva_kucica"/>
    <w:basedOn w:val="Normal"/>
    <w:rsid w:val="00894D05"/>
    <w:pPr>
      <w:spacing w:before="100" w:beforeAutospacing="1" w:after="100" w:afterAutospacing="1"/>
    </w:pPr>
    <w:rPr>
      <w:szCs w:val="24"/>
      <w:lang w:eastAsia="hr-HR"/>
    </w:rPr>
  </w:style>
  <w:style w:type="character" w:customStyle="1" w:styleId="apple-style-span">
    <w:name w:val="apple-style-span"/>
    <w:basedOn w:val="Zadanifontodlomka"/>
    <w:rsid w:val="00FD6F10"/>
  </w:style>
  <w:style w:type="character" w:customStyle="1" w:styleId="apple-converted-space">
    <w:name w:val="apple-converted-space"/>
    <w:basedOn w:val="Zadanifontodlomka"/>
    <w:rsid w:val="001B1EEB"/>
  </w:style>
  <w:style w:type="character" w:styleId="Istaknuto">
    <w:name w:val="Emphasis"/>
    <w:qFormat/>
    <w:rsid w:val="001B1EEB"/>
    <w:rPr>
      <w:i/>
      <w:iCs/>
    </w:rPr>
  </w:style>
  <w:style w:type="paragraph" w:customStyle="1" w:styleId="Default">
    <w:name w:val="Default"/>
    <w:rsid w:val="005A41D2"/>
    <w:pPr>
      <w:autoSpaceDE w:val="0"/>
      <w:autoSpaceDN w:val="0"/>
      <w:adjustRightInd w:val="0"/>
    </w:pPr>
    <w:rPr>
      <w:rFonts w:ascii="Arial" w:hAnsi="Arial" w:cs="Arial"/>
      <w:color w:val="000000"/>
      <w:sz w:val="24"/>
      <w:szCs w:val="24"/>
      <w:lang w:val="en-US" w:eastAsia="en-US"/>
    </w:rPr>
  </w:style>
  <w:style w:type="paragraph" w:customStyle="1" w:styleId="t-9-8">
    <w:name w:val="t-9-8"/>
    <w:basedOn w:val="Normal"/>
    <w:rsid w:val="005A41D2"/>
    <w:pPr>
      <w:spacing w:before="100" w:beforeAutospacing="1" w:after="100" w:afterAutospacing="1"/>
    </w:pPr>
    <w:rPr>
      <w:szCs w:val="24"/>
      <w:lang w:eastAsia="hr-HR"/>
    </w:rPr>
  </w:style>
  <w:style w:type="table" w:styleId="Reetkatablice">
    <w:name w:val="Table Grid"/>
    <w:basedOn w:val="Obinatablica"/>
    <w:rsid w:val="005A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arCharCarCharCarCharCharChar">
    <w:name w:val="Car Char Car Char Car Char Car Char Char Char"/>
    <w:basedOn w:val="Normal"/>
    <w:rsid w:val="005A41D2"/>
    <w:pPr>
      <w:spacing w:after="160" w:line="240" w:lineRule="exact"/>
    </w:pPr>
    <w:rPr>
      <w:rFonts w:ascii="Arial" w:hAnsi="Arial" w:cs="Arial"/>
      <w:sz w:val="20"/>
      <w:lang w:val="fr-FR"/>
    </w:rPr>
  </w:style>
  <w:style w:type="character" w:styleId="Naglaeno">
    <w:name w:val="Strong"/>
    <w:qFormat/>
    <w:rsid w:val="00E74FA3"/>
    <w:rPr>
      <w:b/>
      <w:bCs/>
    </w:rPr>
  </w:style>
  <w:style w:type="paragraph" w:styleId="Kartadokumenta">
    <w:name w:val="Document Map"/>
    <w:basedOn w:val="Normal"/>
    <w:semiHidden/>
    <w:rsid w:val="00B0686D"/>
    <w:pPr>
      <w:shd w:val="clear" w:color="auto" w:fill="000080"/>
    </w:pPr>
    <w:rPr>
      <w:rFonts w:ascii="Tahoma" w:hAnsi="Tahoma" w:cs="Tahoma"/>
      <w:sz w:val="20"/>
    </w:rPr>
  </w:style>
  <w:style w:type="paragraph" w:customStyle="1" w:styleId="Pravilnik">
    <w:name w:val="Pravilnik"/>
    <w:basedOn w:val="Normal"/>
    <w:rsid w:val="00A63441"/>
    <w:pPr>
      <w:spacing w:before="100" w:beforeAutospacing="1" w:after="100" w:afterAutospacing="1"/>
      <w:jc w:val="center"/>
    </w:pPr>
    <w:rPr>
      <w:rFonts w:ascii="Tahoma" w:hAnsi="Tahoma"/>
      <w:b/>
      <w:bCs/>
      <w:sz w:val="28"/>
    </w:rPr>
  </w:style>
  <w:style w:type="paragraph" w:styleId="Uvuenotijeloteksta">
    <w:name w:val="Body Text Indent"/>
    <w:basedOn w:val="Normal"/>
    <w:link w:val="UvuenotijelotekstaChar"/>
    <w:rsid w:val="00A63441"/>
    <w:pPr>
      <w:spacing w:after="120"/>
      <w:ind w:left="283"/>
    </w:pPr>
    <w:rPr>
      <w:szCs w:val="24"/>
      <w:lang w:val="bs-Cyrl-BA" w:eastAsia="hr-HR"/>
    </w:rPr>
  </w:style>
  <w:style w:type="character" w:customStyle="1" w:styleId="UvuenotijelotekstaChar">
    <w:name w:val="Uvučeno tijelo teksta Char"/>
    <w:link w:val="Uvuenotijeloteksta"/>
    <w:rsid w:val="00A63441"/>
    <w:rPr>
      <w:sz w:val="24"/>
      <w:szCs w:val="24"/>
      <w:lang w:val="bs-Cyrl-BA"/>
    </w:rPr>
  </w:style>
  <w:style w:type="paragraph" w:styleId="Tijeloteksta">
    <w:name w:val="Body Text"/>
    <w:basedOn w:val="Normal"/>
    <w:link w:val="TijelotekstaChar"/>
    <w:rsid w:val="000E07CA"/>
    <w:pPr>
      <w:spacing w:after="120"/>
      <w:jc w:val="right"/>
    </w:pPr>
    <w:rPr>
      <w:rFonts w:ascii="Cambria" w:hAnsi="Cambria"/>
    </w:rPr>
  </w:style>
  <w:style w:type="character" w:customStyle="1" w:styleId="TijelotekstaChar">
    <w:name w:val="Tijelo teksta Char"/>
    <w:link w:val="Tijeloteksta"/>
    <w:rsid w:val="000E07CA"/>
    <w:rPr>
      <w:rFonts w:ascii="Cambria" w:hAnsi="Cambria"/>
      <w:sz w:val="24"/>
      <w:lang w:val="en-GB" w:eastAsia="en-US"/>
    </w:rPr>
  </w:style>
  <w:style w:type="paragraph" w:styleId="Blokteksta">
    <w:name w:val="Block Text"/>
    <w:basedOn w:val="Normal"/>
    <w:rsid w:val="00BB244B"/>
    <w:pPr>
      <w:ind w:left="-567" w:right="-199"/>
    </w:pPr>
  </w:style>
  <w:style w:type="paragraph" w:customStyle="1" w:styleId="Nazivpravilnika">
    <w:name w:val="Naziv pravilnika"/>
    <w:basedOn w:val="Naslov1"/>
    <w:rsid w:val="00BB244B"/>
    <w:pPr>
      <w:keepNext w:val="0"/>
      <w:jc w:val="center"/>
    </w:pPr>
    <w:rPr>
      <w:rFonts w:cs="Times New Roman"/>
      <w:b/>
      <w:bCs/>
      <w:u w:val="none"/>
      <w:lang w:val="en-US"/>
    </w:rPr>
  </w:style>
  <w:style w:type="paragraph" w:customStyle="1" w:styleId="Clan1">
    <w:name w:val="Clan 1"/>
    <w:basedOn w:val="Normal"/>
    <w:next w:val="Normal"/>
    <w:link w:val="Clan1Char"/>
    <w:rsid w:val="00BB244B"/>
    <w:pPr>
      <w:keepNext/>
      <w:jc w:val="center"/>
    </w:pPr>
    <w:rPr>
      <w:rFonts w:ascii="Tahoma" w:hAnsi="Tahoma"/>
    </w:rPr>
  </w:style>
  <w:style w:type="paragraph" w:customStyle="1" w:styleId="Clan1text">
    <w:name w:val="Clan 1 text"/>
    <w:basedOn w:val="Clan1"/>
    <w:link w:val="Clan1textChar"/>
    <w:rsid w:val="00BB244B"/>
    <w:pPr>
      <w:spacing w:before="120" w:after="120"/>
      <w:jc w:val="both"/>
    </w:pPr>
  </w:style>
  <w:style w:type="character" w:customStyle="1" w:styleId="Clan1Char">
    <w:name w:val="Clan 1 Char"/>
    <w:link w:val="Clan1"/>
    <w:rsid w:val="00BB244B"/>
    <w:rPr>
      <w:rFonts w:ascii="Tahoma" w:hAnsi="Tahoma"/>
      <w:sz w:val="24"/>
      <w:lang w:val="en-GB" w:eastAsia="en-US"/>
    </w:rPr>
  </w:style>
  <w:style w:type="character" w:customStyle="1" w:styleId="Clan1textChar">
    <w:name w:val="Clan 1 text Char"/>
    <w:basedOn w:val="Clan1Char"/>
    <w:link w:val="Clan1text"/>
    <w:rsid w:val="00BB244B"/>
    <w:rPr>
      <w:rFonts w:ascii="Tahoma" w:hAnsi="Tahoma"/>
      <w:sz w:val="24"/>
      <w:lang w:val="en-GB" w:eastAsia="en-US"/>
    </w:rPr>
  </w:style>
  <w:style w:type="paragraph" w:styleId="Tekstfusnote">
    <w:name w:val="footnote text"/>
    <w:basedOn w:val="Normal"/>
    <w:link w:val="TekstfusnoteChar"/>
    <w:uiPriority w:val="99"/>
    <w:unhideWhenUsed/>
    <w:rsid w:val="00084414"/>
    <w:pPr>
      <w:ind w:hanging="357"/>
      <w:jc w:val="both"/>
    </w:pPr>
    <w:rPr>
      <w:rFonts w:ascii="Calibri" w:eastAsia="Calibri" w:hAnsi="Calibri"/>
      <w:sz w:val="20"/>
    </w:rPr>
  </w:style>
  <w:style w:type="character" w:customStyle="1" w:styleId="TekstfusnoteChar">
    <w:name w:val="Tekst fusnote Char"/>
    <w:link w:val="Tekstfusnote"/>
    <w:uiPriority w:val="99"/>
    <w:rsid w:val="00084414"/>
    <w:rPr>
      <w:rFonts w:ascii="Calibri" w:eastAsia="Calibri" w:hAnsi="Calibri" w:cs="Times New Roman"/>
      <w:lang w:eastAsia="en-US"/>
    </w:rPr>
  </w:style>
  <w:style w:type="character" w:styleId="Referencafusnote">
    <w:name w:val="footnote reference"/>
    <w:uiPriority w:val="99"/>
    <w:unhideWhenUsed/>
    <w:rsid w:val="00084414"/>
    <w:rPr>
      <w:vertAlign w:val="superscript"/>
    </w:rPr>
  </w:style>
  <w:style w:type="character" w:customStyle="1" w:styleId="Naslov3Char">
    <w:name w:val="Naslov 3 Char"/>
    <w:link w:val="Naslov3"/>
    <w:rsid w:val="00082701"/>
    <w:rPr>
      <w:rFonts w:ascii="Tahoma" w:hAnsi="Tahoma" w:cs="Tahoma"/>
      <w:sz w:val="32"/>
      <w:szCs w:val="28"/>
      <w:lang w:val="en-GB" w:eastAsia="en-US"/>
    </w:rPr>
  </w:style>
  <w:style w:type="paragraph" w:styleId="Tekstbalonia">
    <w:name w:val="Balloon Text"/>
    <w:basedOn w:val="Normal"/>
    <w:link w:val="TekstbaloniaChar"/>
    <w:rsid w:val="00442375"/>
    <w:rPr>
      <w:rFonts w:ascii="Segoe UI" w:hAnsi="Segoe UI" w:cs="Segoe UI"/>
      <w:sz w:val="18"/>
      <w:szCs w:val="18"/>
    </w:rPr>
  </w:style>
  <w:style w:type="character" w:customStyle="1" w:styleId="TekstbaloniaChar">
    <w:name w:val="Tekst balončića Char"/>
    <w:basedOn w:val="Zadanifontodlomka"/>
    <w:link w:val="Tekstbalonia"/>
    <w:rsid w:val="0044237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8389">
      <w:bodyDiv w:val="1"/>
      <w:marLeft w:val="0"/>
      <w:marRight w:val="0"/>
      <w:marTop w:val="0"/>
      <w:marBottom w:val="0"/>
      <w:divBdr>
        <w:top w:val="none" w:sz="0" w:space="0" w:color="auto"/>
        <w:left w:val="none" w:sz="0" w:space="0" w:color="auto"/>
        <w:bottom w:val="none" w:sz="0" w:space="0" w:color="auto"/>
        <w:right w:val="none" w:sz="0" w:space="0" w:color="auto"/>
      </w:divBdr>
    </w:div>
    <w:div w:id="267784880">
      <w:bodyDiv w:val="1"/>
      <w:marLeft w:val="0"/>
      <w:marRight w:val="0"/>
      <w:marTop w:val="0"/>
      <w:marBottom w:val="0"/>
      <w:divBdr>
        <w:top w:val="none" w:sz="0" w:space="0" w:color="auto"/>
        <w:left w:val="none" w:sz="0" w:space="0" w:color="auto"/>
        <w:bottom w:val="none" w:sz="0" w:space="0" w:color="auto"/>
        <w:right w:val="none" w:sz="0" w:space="0" w:color="auto"/>
      </w:divBdr>
    </w:div>
    <w:div w:id="639310809">
      <w:bodyDiv w:val="1"/>
      <w:marLeft w:val="0"/>
      <w:marRight w:val="0"/>
      <w:marTop w:val="0"/>
      <w:marBottom w:val="0"/>
      <w:divBdr>
        <w:top w:val="none" w:sz="0" w:space="0" w:color="auto"/>
        <w:left w:val="none" w:sz="0" w:space="0" w:color="auto"/>
        <w:bottom w:val="none" w:sz="0" w:space="0" w:color="auto"/>
        <w:right w:val="none" w:sz="0" w:space="0" w:color="auto"/>
      </w:divBdr>
    </w:div>
    <w:div w:id="729763795">
      <w:bodyDiv w:val="1"/>
      <w:marLeft w:val="0"/>
      <w:marRight w:val="0"/>
      <w:marTop w:val="0"/>
      <w:marBottom w:val="0"/>
      <w:divBdr>
        <w:top w:val="none" w:sz="0" w:space="0" w:color="auto"/>
        <w:left w:val="none" w:sz="0" w:space="0" w:color="auto"/>
        <w:bottom w:val="none" w:sz="0" w:space="0" w:color="auto"/>
        <w:right w:val="none" w:sz="0" w:space="0" w:color="auto"/>
      </w:divBdr>
    </w:div>
    <w:div w:id="762383349">
      <w:bodyDiv w:val="1"/>
      <w:marLeft w:val="0"/>
      <w:marRight w:val="0"/>
      <w:marTop w:val="0"/>
      <w:marBottom w:val="0"/>
      <w:divBdr>
        <w:top w:val="none" w:sz="0" w:space="0" w:color="auto"/>
        <w:left w:val="none" w:sz="0" w:space="0" w:color="auto"/>
        <w:bottom w:val="none" w:sz="0" w:space="0" w:color="auto"/>
        <w:right w:val="none" w:sz="0" w:space="0" w:color="auto"/>
      </w:divBdr>
      <w:divsChild>
        <w:div w:id="207031555">
          <w:marLeft w:val="0"/>
          <w:marRight w:val="0"/>
          <w:marTop w:val="0"/>
          <w:marBottom w:val="0"/>
          <w:divBdr>
            <w:top w:val="none" w:sz="0" w:space="0" w:color="auto"/>
            <w:left w:val="none" w:sz="0" w:space="0" w:color="auto"/>
            <w:bottom w:val="none" w:sz="0" w:space="0" w:color="auto"/>
            <w:right w:val="none" w:sz="0" w:space="0" w:color="auto"/>
          </w:divBdr>
        </w:div>
        <w:div w:id="798039191">
          <w:marLeft w:val="0"/>
          <w:marRight w:val="0"/>
          <w:marTop w:val="0"/>
          <w:marBottom w:val="0"/>
          <w:divBdr>
            <w:top w:val="none" w:sz="0" w:space="0" w:color="auto"/>
            <w:left w:val="none" w:sz="0" w:space="0" w:color="auto"/>
            <w:bottom w:val="none" w:sz="0" w:space="0" w:color="auto"/>
            <w:right w:val="none" w:sz="0" w:space="0" w:color="auto"/>
          </w:divBdr>
        </w:div>
        <w:div w:id="836044828">
          <w:marLeft w:val="0"/>
          <w:marRight w:val="0"/>
          <w:marTop w:val="0"/>
          <w:marBottom w:val="0"/>
          <w:divBdr>
            <w:top w:val="none" w:sz="0" w:space="0" w:color="auto"/>
            <w:left w:val="none" w:sz="0" w:space="0" w:color="auto"/>
            <w:bottom w:val="none" w:sz="0" w:space="0" w:color="auto"/>
            <w:right w:val="none" w:sz="0" w:space="0" w:color="auto"/>
          </w:divBdr>
        </w:div>
        <w:div w:id="1517422936">
          <w:marLeft w:val="0"/>
          <w:marRight w:val="0"/>
          <w:marTop w:val="0"/>
          <w:marBottom w:val="0"/>
          <w:divBdr>
            <w:top w:val="none" w:sz="0" w:space="0" w:color="auto"/>
            <w:left w:val="none" w:sz="0" w:space="0" w:color="auto"/>
            <w:bottom w:val="none" w:sz="0" w:space="0" w:color="auto"/>
            <w:right w:val="none" w:sz="0" w:space="0" w:color="auto"/>
          </w:divBdr>
        </w:div>
        <w:div w:id="1769616753">
          <w:marLeft w:val="0"/>
          <w:marRight w:val="0"/>
          <w:marTop w:val="0"/>
          <w:marBottom w:val="0"/>
          <w:divBdr>
            <w:top w:val="none" w:sz="0" w:space="0" w:color="auto"/>
            <w:left w:val="none" w:sz="0" w:space="0" w:color="auto"/>
            <w:bottom w:val="none" w:sz="0" w:space="0" w:color="auto"/>
            <w:right w:val="none" w:sz="0" w:space="0" w:color="auto"/>
          </w:divBdr>
        </w:div>
        <w:div w:id="1792672844">
          <w:marLeft w:val="0"/>
          <w:marRight w:val="0"/>
          <w:marTop w:val="0"/>
          <w:marBottom w:val="0"/>
          <w:divBdr>
            <w:top w:val="none" w:sz="0" w:space="0" w:color="auto"/>
            <w:left w:val="none" w:sz="0" w:space="0" w:color="auto"/>
            <w:bottom w:val="none" w:sz="0" w:space="0" w:color="auto"/>
            <w:right w:val="none" w:sz="0" w:space="0" w:color="auto"/>
          </w:divBdr>
        </w:div>
        <w:div w:id="1966227612">
          <w:marLeft w:val="0"/>
          <w:marRight w:val="0"/>
          <w:marTop w:val="0"/>
          <w:marBottom w:val="0"/>
          <w:divBdr>
            <w:top w:val="none" w:sz="0" w:space="0" w:color="auto"/>
            <w:left w:val="none" w:sz="0" w:space="0" w:color="auto"/>
            <w:bottom w:val="none" w:sz="0" w:space="0" w:color="auto"/>
            <w:right w:val="none" w:sz="0" w:space="0" w:color="auto"/>
          </w:divBdr>
        </w:div>
      </w:divsChild>
    </w:div>
    <w:div w:id="772746056">
      <w:bodyDiv w:val="1"/>
      <w:marLeft w:val="0"/>
      <w:marRight w:val="0"/>
      <w:marTop w:val="0"/>
      <w:marBottom w:val="0"/>
      <w:divBdr>
        <w:top w:val="none" w:sz="0" w:space="0" w:color="auto"/>
        <w:left w:val="none" w:sz="0" w:space="0" w:color="auto"/>
        <w:bottom w:val="none" w:sz="0" w:space="0" w:color="auto"/>
        <w:right w:val="none" w:sz="0" w:space="0" w:color="auto"/>
      </w:divBdr>
      <w:divsChild>
        <w:div w:id="687828881">
          <w:marLeft w:val="0"/>
          <w:marRight w:val="0"/>
          <w:marTop w:val="0"/>
          <w:marBottom w:val="0"/>
          <w:divBdr>
            <w:top w:val="none" w:sz="0" w:space="0" w:color="auto"/>
            <w:left w:val="none" w:sz="0" w:space="0" w:color="auto"/>
            <w:bottom w:val="none" w:sz="0" w:space="0" w:color="auto"/>
            <w:right w:val="none" w:sz="0" w:space="0" w:color="auto"/>
          </w:divBdr>
        </w:div>
        <w:div w:id="881092246">
          <w:marLeft w:val="0"/>
          <w:marRight w:val="0"/>
          <w:marTop w:val="0"/>
          <w:marBottom w:val="0"/>
          <w:divBdr>
            <w:top w:val="none" w:sz="0" w:space="0" w:color="auto"/>
            <w:left w:val="none" w:sz="0" w:space="0" w:color="auto"/>
            <w:bottom w:val="none" w:sz="0" w:space="0" w:color="auto"/>
            <w:right w:val="none" w:sz="0" w:space="0" w:color="auto"/>
          </w:divBdr>
        </w:div>
      </w:divsChild>
    </w:div>
    <w:div w:id="1229805509">
      <w:bodyDiv w:val="1"/>
      <w:marLeft w:val="0"/>
      <w:marRight w:val="0"/>
      <w:marTop w:val="0"/>
      <w:marBottom w:val="0"/>
      <w:divBdr>
        <w:top w:val="none" w:sz="0" w:space="0" w:color="auto"/>
        <w:left w:val="none" w:sz="0" w:space="0" w:color="auto"/>
        <w:bottom w:val="none" w:sz="0" w:space="0" w:color="auto"/>
        <w:right w:val="none" w:sz="0" w:space="0" w:color="auto"/>
      </w:divBdr>
    </w:div>
    <w:div w:id="1323658364">
      <w:bodyDiv w:val="1"/>
      <w:marLeft w:val="0"/>
      <w:marRight w:val="0"/>
      <w:marTop w:val="0"/>
      <w:marBottom w:val="0"/>
      <w:divBdr>
        <w:top w:val="none" w:sz="0" w:space="0" w:color="auto"/>
        <w:left w:val="none" w:sz="0" w:space="0" w:color="auto"/>
        <w:bottom w:val="none" w:sz="0" w:space="0" w:color="auto"/>
        <w:right w:val="none" w:sz="0" w:space="0" w:color="auto"/>
      </w:divBdr>
    </w:div>
    <w:div w:id="1326010083">
      <w:bodyDiv w:val="1"/>
      <w:marLeft w:val="0"/>
      <w:marRight w:val="0"/>
      <w:marTop w:val="0"/>
      <w:marBottom w:val="0"/>
      <w:divBdr>
        <w:top w:val="none" w:sz="0" w:space="0" w:color="auto"/>
        <w:left w:val="none" w:sz="0" w:space="0" w:color="auto"/>
        <w:bottom w:val="none" w:sz="0" w:space="0" w:color="auto"/>
        <w:right w:val="none" w:sz="0" w:space="0" w:color="auto"/>
      </w:divBdr>
    </w:div>
    <w:div w:id="1518228971">
      <w:bodyDiv w:val="1"/>
      <w:marLeft w:val="0"/>
      <w:marRight w:val="0"/>
      <w:marTop w:val="0"/>
      <w:marBottom w:val="0"/>
      <w:divBdr>
        <w:top w:val="none" w:sz="0" w:space="0" w:color="auto"/>
        <w:left w:val="none" w:sz="0" w:space="0" w:color="auto"/>
        <w:bottom w:val="none" w:sz="0" w:space="0" w:color="auto"/>
        <w:right w:val="none" w:sz="0" w:space="0" w:color="auto"/>
      </w:divBdr>
    </w:div>
    <w:div w:id="1561092639">
      <w:bodyDiv w:val="1"/>
      <w:marLeft w:val="0"/>
      <w:marRight w:val="0"/>
      <w:marTop w:val="0"/>
      <w:marBottom w:val="0"/>
      <w:divBdr>
        <w:top w:val="none" w:sz="0" w:space="0" w:color="auto"/>
        <w:left w:val="none" w:sz="0" w:space="0" w:color="auto"/>
        <w:bottom w:val="none" w:sz="0" w:space="0" w:color="auto"/>
        <w:right w:val="none" w:sz="0" w:space="0" w:color="auto"/>
      </w:divBdr>
    </w:div>
    <w:div w:id="1626933524">
      <w:bodyDiv w:val="1"/>
      <w:marLeft w:val="0"/>
      <w:marRight w:val="0"/>
      <w:marTop w:val="0"/>
      <w:marBottom w:val="0"/>
      <w:divBdr>
        <w:top w:val="none" w:sz="0" w:space="0" w:color="auto"/>
        <w:left w:val="none" w:sz="0" w:space="0" w:color="auto"/>
        <w:bottom w:val="none" w:sz="0" w:space="0" w:color="auto"/>
        <w:right w:val="none" w:sz="0" w:space="0" w:color="auto"/>
      </w:divBdr>
    </w:div>
    <w:div w:id="1662469633">
      <w:bodyDiv w:val="1"/>
      <w:marLeft w:val="0"/>
      <w:marRight w:val="0"/>
      <w:marTop w:val="0"/>
      <w:marBottom w:val="0"/>
      <w:divBdr>
        <w:top w:val="none" w:sz="0" w:space="0" w:color="auto"/>
        <w:left w:val="none" w:sz="0" w:space="0" w:color="auto"/>
        <w:bottom w:val="none" w:sz="0" w:space="0" w:color="auto"/>
        <w:right w:val="none" w:sz="0" w:space="0" w:color="auto"/>
      </w:divBdr>
    </w:div>
    <w:div w:id="1865679009">
      <w:bodyDiv w:val="1"/>
      <w:marLeft w:val="0"/>
      <w:marRight w:val="0"/>
      <w:marTop w:val="0"/>
      <w:marBottom w:val="0"/>
      <w:divBdr>
        <w:top w:val="none" w:sz="0" w:space="0" w:color="auto"/>
        <w:left w:val="none" w:sz="0" w:space="0" w:color="auto"/>
        <w:bottom w:val="none" w:sz="0" w:space="0" w:color="auto"/>
        <w:right w:val="none" w:sz="0" w:space="0" w:color="auto"/>
      </w:divBdr>
    </w:div>
    <w:div w:id="19362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1422</Words>
  <Characters>8111</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cp:lastModifiedBy>Windows korisnik</cp:lastModifiedBy>
  <cp:revision>11</cp:revision>
  <cp:lastPrinted>2018-02-13T13:13:00Z</cp:lastPrinted>
  <dcterms:created xsi:type="dcterms:W3CDTF">2017-02-17T12:09:00Z</dcterms:created>
  <dcterms:modified xsi:type="dcterms:W3CDTF">2019-02-19T09:44:00Z</dcterms:modified>
</cp:coreProperties>
</file>