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F3" w:rsidRPr="001A1BE2" w:rsidRDefault="00BC55C5" w:rsidP="00BC55C5">
      <w:pPr>
        <w:jc w:val="both"/>
        <w:rPr>
          <w:sz w:val="24"/>
          <w:szCs w:val="24"/>
        </w:rPr>
      </w:pPr>
      <w:r>
        <w:t>Sukladno čl.</w:t>
      </w:r>
      <w:r w:rsidRPr="002E39A3">
        <w:t>22.</w:t>
      </w:r>
      <w:r>
        <w:t xml:space="preserve"> stav (1)</w:t>
      </w:r>
      <w:r w:rsidRPr="002E39A3">
        <w:t xml:space="preserve"> </w:t>
      </w:r>
      <w:r>
        <w:t xml:space="preserve">i članom 22.stav (3) </w:t>
      </w:r>
      <w:r w:rsidRPr="002E39A3">
        <w:t>Zakona o financiranju institucija BiH („Službeni glasnik BiH“ broj</w:t>
      </w:r>
      <w:r>
        <w:t xml:space="preserve">: 61/04, </w:t>
      </w:r>
      <w:r w:rsidRPr="002E39A3">
        <w:t>49/09</w:t>
      </w:r>
      <w:r>
        <w:t xml:space="preserve">, 42/12, 87/12 i 32/13) i čl. 3. i 18 </w:t>
      </w:r>
      <w:r w:rsidRPr="001A1BE2">
        <w:rPr>
          <w:sz w:val="24"/>
          <w:szCs w:val="24"/>
        </w:rPr>
        <w:t xml:space="preserve">u svojstvu rukovoditelja institucije, ja, </w:t>
      </w:r>
      <w:r w:rsidRPr="001A1BE2">
        <w:rPr>
          <w:sz w:val="24"/>
          <w:szCs w:val="24"/>
          <w:u w:val="single"/>
        </w:rPr>
        <w:t>Dragan Doko</w:t>
      </w:r>
      <w:r w:rsidRPr="001A1BE2">
        <w:rPr>
          <w:sz w:val="24"/>
          <w:szCs w:val="24"/>
        </w:rPr>
        <w:t xml:space="preserve">,  dostavljam sljedeću </w:t>
      </w:r>
    </w:p>
    <w:p w:rsidR="00EA1EF3" w:rsidRPr="001A1BE2" w:rsidRDefault="00EA1EF3" w:rsidP="00EA1EF3">
      <w:pPr>
        <w:spacing w:line="240" w:lineRule="auto"/>
        <w:jc w:val="center"/>
        <w:rPr>
          <w:b/>
          <w:sz w:val="32"/>
          <w:szCs w:val="32"/>
        </w:rPr>
      </w:pPr>
      <w:r w:rsidRPr="001A1BE2">
        <w:rPr>
          <w:b/>
          <w:sz w:val="32"/>
          <w:szCs w:val="32"/>
        </w:rPr>
        <w:t>I Z J A V U</w:t>
      </w:r>
    </w:p>
    <w:p w:rsidR="00EA1EF3" w:rsidRPr="001A1BE2" w:rsidRDefault="00EA1EF3" w:rsidP="00EA1EF3">
      <w:pPr>
        <w:spacing w:line="240" w:lineRule="auto"/>
        <w:jc w:val="center"/>
        <w:rPr>
          <w:b/>
          <w:sz w:val="28"/>
          <w:szCs w:val="28"/>
        </w:rPr>
      </w:pPr>
      <w:r w:rsidRPr="001A1BE2">
        <w:rPr>
          <w:b/>
          <w:sz w:val="28"/>
          <w:szCs w:val="28"/>
        </w:rPr>
        <w:t>o odgovornosti za ostvarivanje ciljeva institucije</w:t>
      </w:r>
    </w:p>
    <w:p w:rsidR="00B50856" w:rsidRDefault="00EA1EF3" w:rsidP="004E50A3">
      <w:pPr>
        <w:spacing w:line="240" w:lineRule="auto"/>
        <w:jc w:val="center"/>
        <w:rPr>
          <w:sz w:val="24"/>
          <w:szCs w:val="24"/>
          <w:u w:val="single"/>
        </w:rPr>
      </w:pPr>
      <w:r w:rsidRPr="001A1BE2">
        <w:rPr>
          <w:sz w:val="24"/>
          <w:szCs w:val="24"/>
          <w:u w:val="single"/>
        </w:rPr>
        <w:t>Institucija ombudsmana za zaštitu potrošača u Bosni i Hercegovini</w:t>
      </w:r>
    </w:p>
    <w:p w:rsidR="004E50A3" w:rsidRPr="004E50A3" w:rsidRDefault="004E50A3" w:rsidP="004E50A3">
      <w:pPr>
        <w:spacing w:line="240" w:lineRule="auto"/>
        <w:jc w:val="center"/>
        <w:rPr>
          <w:sz w:val="24"/>
          <w:szCs w:val="24"/>
          <w:u w:val="single"/>
        </w:rPr>
      </w:pPr>
    </w:p>
    <w:p w:rsidR="00EA1EF3" w:rsidRPr="002C133D" w:rsidRDefault="00EA1EF3" w:rsidP="00EA1EF3">
      <w:pPr>
        <w:pStyle w:val="ListParagraph"/>
        <w:numPr>
          <w:ilvl w:val="0"/>
          <w:numId w:val="1"/>
        </w:numPr>
        <w:spacing w:line="240" w:lineRule="auto"/>
        <w:jc w:val="both"/>
        <w:rPr>
          <w:b/>
          <w:sz w:val="24"/>
          <w:szCs w:val="24"/>
        </w:rPr>
      </w:pPr>
      <w:r w:rsidRPr="002C133D">
        <w:rPr>
          <w:b/>
          <w:sz w:val="24"/>
          <w:szCs w:val="24"/>
        </w:rPr>
        <w:t>Glavni ciljevi utvrđeni Programom rada  za  201</w:t>
      </w:r>
      <w:r w:rsidR="00E02BF7">
        <w:rPr>
          <w:b/>
          <w:sz w:val="24"/>
          <w:szCs w:val="24"/>
        </w:rPr>
        <w:t>8</w:t>
      </w:r>
      <w:r w:rsidRPr="002C133D">
        <w:rPr>
          <w:b/>
          <w:sz w:val="24"/>
          <w:szCs w:val="24"/>
        </w:rPr>
        <w:t>. godinu ostvareni su kako slijedi:</w:t>
      </w:r>
    </w:p>
    <w:p w:rsidR="00EA1EF3" w:rsidRPr="002C133D" w:rsidRDefault="00EA1EF3" w:rsidP="00EA1EF3">
      <w:pPr>
        <w:pStyle w:val="ListParagraph"/>
        <w:spacing w:line="240" w:lineRule="auto"/>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6531"/>
        <w:gridCol w:w="2126"/>
      </w:tblGrid>
      <w:tr w:rsidR="002C133D" w:rsidRPr="002C133D" w:rsidTr="00EB71CC">
        <w:tc>
          <w:tcPr>
            <w:tcW w:w="665" w:type="dxa"/>
          </w:tcPr>
          <w:p w:rsidR="00EA1EF3" w:rsidRPr="002C133D" w:rsidRDefault="00EA1EF3" w:rsidP="00EB71CC">
            <w:pPr>
              <w:spacing w:after="0" w:line="240" w:lineRule="auto"/>
              <w:jc w:val="center"/>
              <w:rPr>
                <w:b/>
                <w:sz w:val="24"/>
                <w:szCs w:val="24"/>
              </w:rPr>
            </w:pPr>
            <w:r w:rsidRPr="002C133D">
              <w:rPr>
                <w:b/>
                <w:sz w:val="24"/>
                <w:szCs w:val="24"/>
              </w:rPr>
              <w:t>Red.</w:t>
            </w:r>
          </w:p>
          <w:p w:rsidR="00EA1EF3" w:rsidRPr="002C133D" w:rsidRDefault="00EA1EF3" w:rsidP="00EB71CC">
            <w:pPr>
              <w:spacing w:after="0" w:line="240" w:lineRule="auto"/>
              <w:jc w:val="center"/>
              <w:rPr>
                <w:b/>
                <w:sz w:val="24"/>
                <w:szCs w:val="24"/>
              </w:rPr>
            </w:pPr>
            <w:r w:rsidRPr="002C133D">
              <w:rPr>
                <w:b/>
                <w:sz w:val="24"/>
                <w:szCs w:val="24"/>
              </w:rPr>
              <w:t>broj</w:t>
            </w:r>
          </w:p>
        </w:tc>
        <w:tc>
          <w:tcPr>
            <w:tcW w:w="6531" w:type="dxa"/>
          </w:tcPr>
          <w:p w:rsidR="00EA1EF3" w:rsidRPr="002C133D" w:rsidRDefault="00EA1EF3" w:rsidP="00EB71CC">
            <w:pPr>
              <w:spacing w:after="0" w:line="240" w:lineRule="auto"/>
              <w:jc w:val="center"/>
              <w:rPr>
                <w:b/>
                <w:sz w:val="24"/>
                <w:szCs w:val="24"/>
              </w:rPr>
            </w:pPr>
            <w:r w:rsidRPr="002C133D">
              <w:rPr>
                <w:b/>
                <w:sz w:val="24"/>
                <w:szCs w:val="24"/>
              </w:rPr>
              <w:t>Glavni ciljevi utvrđeni Programom rada</w:t>
            </w:r>
          </w:p>
        </w:tc>
        <w:tc>
          <w:tcPr>
            <w:tcW w:w="2126" w:type="dxa"/>
          </w:tcPr>
          <w:p w:rsidR="00EA1EF3" w:rsidRPr="002C133D" w:rsidRDefault="00EA1EF3" w:rsidP="00EB71CC">
            <w:pPr>
              <w:spacing w:after="0" w:line="240" w:lineRule="auto"/>
              <w:jc w:val="center"/>
              <w:rPr>
                <w:b/>
                <w:sz w:val="24"/>
                <w:szCs w:val="24"/>
              </w:rPr>
            </w:pPr>
            <w:r w:rsidRPr="002C133D">
              <w:rPr>
                <w:b/>
                <w:sz w:val="24"/>
                <w:szCs w:val="24"/>
              </w:rPr>
              <w:t xml:space="preserve">Procenat </w:t>
            </w:r>
          </w:p>
          <w:p w:rsidR="00EA1EF3" w:rsidRPr="002C133D" w:rsidRDefault="00EA1EF3" w:rsidP="00EB71CC">
            <w:pPr>
              <w:spacing w:after="0" w:line="240" w:lineRule="auto"/>
              <w:jc w:val="center"/>
              <w:rPr>
                <w:b/>
                <w:sz w:val="24"/>
                <w:szCs w:val="24"/>
              </w:rPr>
            </w:pPr>
            <w:r w:rsidRPr="002C133D">
              <w:rPr>
                <w:b/>
                <w:sz w:val="24"/>
                <w:szCs w:val="24"/>
              </w:rPr>
              <w:t>izvršenja</w:t>
            </w:r>
          </w:p>
        </w:tc>
      </w:tr>
      <w:tr w:rsidR="0023456E" w:rsidRPr="002C133D" w:rsidTr="00EB71CC">
        <w:tc>
          <w:tcPr>
            <w:tcW w:w="665" w:type="dxa"/>
          </w:tcPr>
          <w:p w:rsidR="0023456E" w:rsidRPr="002C133D" w:rsidRDefault="0023456E" w:rsidP="00EB71CC">
            <w:pPr>
              <w:spacing w:after="0" w:line="240" w:lineRule="auto"/>
              <w:jc w:val="both"/>
              <w:rPr>
                <w:sz w:val="24"/>
                <w:szCs w:val="24"/>
              </w:rPr>
            </w:pPr>
            <w:r w:rsidRPr="002C133D">
              <w:rPr>
                <w:sz w:val="24"/>
                <w:szCs w:val="24"/>
              </w:rPr>
              <w:t>1.</w:t>
            </w:r>
          </w:p>
        </w:tc>
        <w:tc>
          <w:tcPr>
            <w:tcW w:w="6531" w:type="dxa"/>
          </w:tcPr>
          <w:p w:rsidR="0023456E" w:rsidRPr="002C133D" w:rsidRDefault="0023456E" w:rsidP="00EB71CC">
            <w:pPr>
              <w:spacing w:after="0" w:line="240" w:lineRule="auto"/>
              <w:jc w:val="both"/>
              <w:rPr>
                <w:sz w:val="24"/>
                <w:szCs w:val="24"/>
              </w:rPr>
            </w:pPr>
            <w:r w:rsidRPr="002C133D">
              <w:rPr>
                <w:sz w:val="24"/>
                <w:szCs w:val="24"/>
              </w:rPr>
              <w:t>Pravni savjeti (usmeni i pisani)</w:t>
            </w:r>
          </w:p>
        </w:tc>
        <w:tc>
          <w:tcPr>
            <w:tcW w:w="2126" w:type="dxa"/>
          </w:tcPr>
          <w:p w:rsidR="0023456E" w:rsidRPr="002C133D" w:rsidRDefault="00B338C8" w:rsidP="0068413C">
            <w:pPr>
              <w:spacing w:after="0" w:line="240" w:lineRule="auto"/>
              <w:jc w:val="center"/>
              <w:rPr>
                <w:sz w:val="24"/>
                <w:szCs w:val="24"/>
              </w:rPr>
            </w:pPr>
            <w:r>
              <w:rPr>
                <w:sz w:val="24"/>
                <w:szCs w:val="24"/>
              </w:rPr>
              <w:t>61,79</w:t>
            </w:r>
            <w:r w:rsidR="0023456E" w:rsidRPr="002C133D">
              <w:rPr>
                <w:sz w:val="24"/>
                <w:szCs w:val="24"/>
              </w:rPr>
              <w:t>%</w:t>
            </w:r>
          </w:p>
        </w:tc>
      </w:tr>
      <w:tr w:rsidR="002C133D" w:rsidRPr="002C133D" w:rsidTr="00EB71CC">
        <w:tc>
          <w:tcPr>
            <w:tcW w:w="665" w:type="dxa"/>
          </w:tcPr>
          <w:p w:rsidR="00EA1EF3" w:rsidRPr="002C133D" w:rsidRDefault="0023456E" w:rsidP="00EB71CC">
            <w:pPr>
              <w:spacing w:after="0" w:line="240" w:lineRule="auto"/>
              <w:jc w:val="both"/>
              <w:rPr>
                <w:sz w:val="24"/>
                <w:szCs w:val="24"/>
              </w:rPr>
            </w:pPr>
            <w:r w:rsidRPr="002C133D">
              <w:rPr>
                <w:sz w:val="24"/>
                <w:szCs w:val="24"/>
              </w:rPr>
              <w:t>2</w:t>
            </w:r>
            <w:r w:rsidR="00EA1EF3" w:rsidRPr="002C133D">
              <w:rPr>
                <w:sz w:val="24"/>
                <w:szCs w:val="24"/>
              </w:rPr>
              <w:t>.</w:t>
            </w:r>
          </w:p>
        </w:tc>
        <w:tc>
          <w:tcPr>
            <w:tcW w:w="6531" w:type="dxa"/>
          </w:tcPr>
          <w:p w:rsidR="00EA1EF3" w:rsidRPr="002C133D" w:rsidRDefault="0023456E" w:rsidP="00EB71CC">
            <w:pPr>
              <w:spacing w:after="0" w:line="240" w:lineRule="auto"/>
              <w:jc w:val="both"/>
              <w:rPr>
                <w:sz w:val="24"/>
                <w:szCs w:val="24"/>
              </w:rPr>
            </w:pPr>
            <w:r w:rsidRPr="002C133D">
              <w:rPr>
                <w:sz w:val="24"/>
                <w:szCs w:val="24"/>
              </w:rPr>
              <w:t>Tumačenja i mišljenja</w:t>
            </w:r>
          </w:p>
        </w:tc>
        <w:tc>
          <w:tcPr>
            <w:tcW w:w="2126" w:type="dxa"/>
          </w:tcPr>
          <w:p w:rsidR="00EA1EF3" w:rsidRPr="002C133D" w:rsidRDefault="00B338C8" w:rsidP="0068413C">
            <w:pPr>
              <w:spacing w:after="0" w:line="240" w:lineRule="auto"/>
              <w:jc w:val="center"/>
              <w:rPr>
                <w:sz w:val="24"/>
                <w:szCs w:val="24"/>
              </w:rPr>
            </w:pPr>
            <w:r>
              <w:rPr>
                <w:sz w:val="24"/>
                <w:szCs w:val="24"/>
              </w:rPr>
              <w:t>167</w:t>
            </w:r>
            <w:r w:rsidR="00B0729D" w:rsidRPr="002C133D">
              <w:rPr>
                <w:sz w:val="24"/>
                <w:szCs w:val="24"/>
              </w:rPr>
              <w:t>%</w:t>
            </w:r>
          </w:p>
        </w:tc>
      </w:tr>
      <w:tr w:rsidR="0023456E" w:rsidRPr="002C133D" w:rsidTr="00EB71CC">
        <w:tc>
          <w:tcPr>
            <w:tcW w:w="665" w:type="dxa"/>
          </w:tcPr>
          <w:p w:rsidR="0023456E" w:rsidRPr="002C133D" w:rsidRDefault="0023456E" w:rsidP="00EB71CC">
            <w:pPr>
              <w:spacing w:after="0" w:line="240" w:lineRule="auto"/>
              <w:jc w:val="both"/>
              <w:rPr>
                <w:sz w:val="24"/>
                <w:szCs w:val="24"/>
              </w:rPr>
            </w:pPr>
            <w:r w:rsidRPr="002C133D">
              <w:rPr>
                <w:sz w:val="24"/>
                <w:szCs w:val="24"/>
              </w:rPr>
              <w:t>3.</w:t>
            </w:r>
          </w:p>
        </w:tc>
        <w:tc>
          <w:tcPr>
            <w:tcW w:w="6531" w:type="dxa"/>
          </w:tcPr>
          <w:p w:rsidR="0023456E" w:rsidRPr="002C133D" w:rsidRDefault="00B0729D" w:rsidP="00EB71CC">
            <w:pPr>
              <w:spacing w:after="0" w:line="240" w:lineRule="auto"/>
              <w:jc w:val="both"/>
              <w:rPr>
                <w:sz w:val="24"/>
                <w:szCs w:val="24"/>
              </w:rPr>
            </w:pPr>
            <w:r w:rsidRPr="002C133D">
              <w:rPr>
                <w:sz w:val="24"/>
                <w:szCs w:val="24"/>
              </w:rPr>
              <w:t>Odluke o pojedinačnim predmetima</w:t>
            </w:r>
          </w:p>
        </w:tc>
        <w:tc>
          <w:tcPr>
            <w:tcW w:w="2126" w:type="dxa"/>
          </w:tcPr>
          <w:p w:rsidR="0023456E" w:rsidRPr="002C133D" w:rsidRDefault="00B338C8" w:rsidP="0068413C">
            <w:pPr>
              <w:spacing w:after="0" w:line="240" w:lineRule="auto"/>
              <w:jc w:val="center"/>
              <w:rPr>
                <w:sz w:val="24"/>
                <w:szCs w:val="24"/>
              </w:rPr>
            </w:pPr>
            <w:r>
              <w:rPr>
                <w:sz w:val="24"/>
                <w:szCs w:val="24"/>
              </w:rPr>
              <w:t>157</w:t>
            </w:r>
            <w:r w:rsidR="0023456E"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4.</w:t>
            </w:r>
          </w:p>
        </w:tc>
        <w:tc>
          <w:tcPr>
            <w:tcW w:w="6531" w:type="dxa"/>
          </w:tcPr>
          <w:p w:rsidR="00B0729D" w:rsidRPr="002C133D" w:rsidRDefault="00B0729D" w:rsidP="00EB71CC">
            <w:pPr>
              <w:spacing w:after="0" w:line="240" w:lineRule="auto"/>
              <w:jc w:val="both"/>
              <w:rPr>
                <w:sz w:val="24"/>
                <w:szCs w:val="24"/>
              </w:rPr>
            </w:pPr>
            <w:r w:rsidRPr="002C133D">
              <w:rPr>
                <w:sz w:val="24"/>
                <w:szCs w:val="24"/>
              </w:rPr>
              <w:t xml:space="preserve">Preporuke, Kriteriji i Posebni izvještaji </w:t>
            </w:r>
          </w:p>
        </w:tc>
        <w:tc>
          <w:tcPr>
            <w:tcW w:w="2126" w:type="dxa"/>
          </w:tcPr>
          <w:p w:rsidR="00B0729D" w:rsidRPr="002C133D" w:rsidRDefault="00B338C8" w:rsidP="0068413C">
            <w:pPr>
              <w:spacing w:after="0" w:line="240" w:lineRule="auto"/>
              <w:jc w:val="center"/>
              <w:rPr>
                <w:sz w:val="24"/>
                <w:szCs w:val="24"/>
              </w:rPr>
            </w:pPr>
            <w:r>
              <w:rPr>
                <w:sz w:val="24"/>
                <w:szCs w:val="24"/>
              </w:rPr>
              <w:t>17</w:t>
            </w:r>
            <w:r w:rsidR="00B0729D"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5.</w:t>
            </w:r>
          </w:p>
        </w:tc>
        <w:tc>
          <w:tcPr>
            <w:tcW w:w="6531" w:type="dxa"/>
          </w:tcPr>
          <w:p w:rsidR="00B0729D" w:rsidRPr="002C133D" w:rsidRDefault="00B0729D" w:rsidP="00EB71CC">
            <w:pPr>
              <w:spacing w:after="0" w:line="240" w:lineRule="auto"/>
              <w:jc w:val="both"/>
              <w:rPr>
                <w:sz w:val="24"/>
                <w:szCs w:val="24"/>
              </w:rPr>
            </w:pPr>
            <w:r w:rsidRPr="002C133D">
              <w:rPr>
                <w:sz w:val="24"/>
                <w:szCs w:val="24"/>
              </w:rPr>
              <w:t>Godišnje izvješće o radu</w:t>
            </w:r>
          </w:p>
        </w:tc>
        <w:tc>
          <w:tcPr>
            <w:tcW w:w="2126" w:type="dxa"/>
          </w:tcPr>
          <w:p w:rsidR="00B0729D" w:rsidRPr="002C133D" w:rsidRDefault="00B0729D" w:rsidP="0068413C">
            <w:pPr>
              <w:spacing w:after="0" w:line="240" w:lineRule="auto"/>
              <w:jc w:val="center"/>
              <w:rPr>
                <w:sz w:val="24"/>
                <w:szCs w:val="24"/>
              </w:rPr>
            </w:pPr>
            <w:r w:rsidRPr="002C133D">
              <w:rPr>
                <w:sz w:val="24"/>
                <w:szCs w:val="24"/>
              </w:rPr>
              <w:t>100%</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6.</w:t>
            </w:r>
          </w:p>
        </w:tc>
        <w:tc>
          <w:tcPr>
            <w:tcW w:w="6531" w:type="dxa"/>
          </w:tcPr>
          <w:p w:rsidR="00B0729D" w:rsidRPr="002C133D" w:rsidRDefault="00B0729D" w:rsidP="00EB71CC">
            <w:pPr>
              <w:spacing w:after="0" w:line="240" w:lineRule="auto"/>
              <w:jc w:val="both"/>
              <w:rPr>
                <w:sz w:val="24"/>
                <w:szCs w:val="24"/>
              </w:rPr>
            </w:pPr>
            <w:r w:rsidRPr="002C133D">
              <w:rPr>
                <w:sz w:val="24"/>
                <w:szCs w:val="24"/>
              </w:rPr>
              <w:t>Odgovori na upite medija, priopćenja za javnost i gostovanja</w:t>
            </w:r>
          </w:p>
        </w:tc>
        <w:tc>
          <w:tcPr>
            <w:tcW w:w="2126" w:type="dxa"/>
          </w:tcPr>
          <w:p w:rsidR="00B0729D" w:rsidRPr="002C133D" w:rsidRDefault="008B15E8" w:rsidP="0068413C">
            <w:pPr>
              <w:spacing w:after="0" w:line="240" w:lineRule="auto"/>
              <w:jc w:val="center"/>
              <w:rPr>
                <w:sz w:val="24"/>
                <w:szCs w:val="24"/>
              </w:rPr>
            </w:pPr>
            <w:r>
              <w:rPr>
                <w:sz w:val="24"/>
                <w:szCs w:val="24"/>
              </w:rPr>
              <w:t>130</w:t>
            </w:r>
            <w:r w:rsidR="00B0729D"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7.</w:t>
            </w:r>
          </w:p>
        </w:tc>
        <w:tc>
          <w:tcPr>
            <w:tcW w:w="6531" w:type="dxa"/>
          </w:tcPr>
          <w:p w:rsidR="00B0729D" w:rsidRPr="002C133D" w:rsidRDefault="00B0729D" w:rsidP="00EB71CC">
            <w:pPr>
              <w:spacing w:after="0" w:line="240" w:lineRule="auto"/>
              <w:jc w:val="both"/>
              <w:rPr>
                <w:sz w:val="24"/>
                <w:szCs w:val="24"/>
              </w:rPr>
            </w:pPr>
            <w:r w:rsidRPr="002C133D">
              <w:rPr>
                <w:sz w:val="24"/>
                <w:szCs w:val="24"/>
              </w:rPr>
              <w:t>Tiskanje brošura, letaka, udzbenika, edukacije po školama</w:t>
            </w:r>
          </w:p>
        </w:tc>
        <w:tc>
          <w:tcPr>
            <w:tcW w:w="2126" w:type="dxa"/>
          </w:tcPr>
          <w:p w:rsidR="00B0729D" w:rsidRPr="002C133D" w:rsidRDefault="008B15E8" w:rsidP="0068413C">
            <w:pPr>
              <w:spacing w:after="0" w:line="240" w:lineRule="auto"/>
              <w:jc w:val="center"/>
              <w:rPr>
                <w:sz w:val="24"/>
                <w:szCs w:val="24"/>
              </w:rPr>
            </w:pPr>
            <w:r>
              <w:rPr>
                <w:sz w:val="24"/>
                <w:szCs w:val="24"/>
              </w:rPr>
              <w:t>29</w:t>
            </w:r>
            <w:r w:rsidR="00B0729D"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8.</w:t>
            </w:r>
          </w:p>
        </w:tc>
        <w:tc>
          <w:tcPr>
            <w:tcW w:w="6531" w:type="dxa"/>
          </w:tcPr>
          <w:p w:rsidR="00B0729D" w:rsidRPr="002C133D" w:rsidRDefault="00B0729D" w:rsidP="00EB71CC">
            <w:pPr>
              <w:spacing w:after="0" w:line="240" w:lineRule="auto"/>
              <w:jc w:val="both"/>
              <w:rPr>
                <w:sz w:val="24"/>
                <w:szCs w:val="24"/>
              </w:rPr>
            </w:pPr>
            <w:r w:rsidRPr="002C133D">
              <w:rPr>
                <w:sz w:val="24"/>
                <w:szCs w:val="24"/>
              </w:rPr>
              <w:t>Suradnja sa studentima</w:t>
            </w:r>
          </w:p>
        </w:tc>
        <w:tc>
          <w:tcPr>
            <w:tcW w:w="2126" w:type="dxa"/>
          </w:tcPr>
          <w:p w:rsidR="00B0729D" w:rsidRPr="002C133D" w:rsidRDefault="008B15E8" w:rsidP="0068413C">
            <w:pPr>
              <w:spacing w:after="0" w:line="240" w:lineRule="auto"/>
              <w:jc w:val="center"/>
              <w:rPr>
                <w:sz w:val="24"/>
                <w:szCs w:val="24"/>
              </w:rPr>
            </w:pPr>
            <w:r>
              <w:rPr>
                <w:sz w:val="24"/>
                <w:szCs w:val="24"/>
              </w:rPr>
              <w:t>100</w:t>
            </w:r>
            <w:r w:rsidR="00B0729D" w:rsidRPr="002C133D">
              <w:rPr>
                <w:sz w:val="24"/>
                <w:szCs w:val="24"/>
              </w:rPr>
              <w:t>%</w:t>
            </w:r>
          </w:p>
        </w:tc>
      </w:tr>
      <w:tr w:rsidR="00B0729D" w:rsidRPr="002C133D" w:rsidTr="00EB71CC">
        <w:tc>
          <w:tcPr>
            <w:tcW w:w="665" w:type="dxa"/>
          </w:tcPr>
          <w:p w:rsidR="00B0729D" w:rsidRPr="002C133D" w:rsidRDefault="00B0729D" w:rsidP="00EB71CC">
            <w:pPr>
              <w:spacing w:after="0" w:line="240" w:lineRule="auto"/>
              <w:jc w:val="both"/>
              <w:rPr>
                <w:sz w:val="24"/>
                <w:szCs w:val="24"/>
              </w:rPr>
            </w:pPr>
            <w:r w:rsidRPr="002C133D">
              <w:rPr>
                <w:sz w:val="24"/>
                <w:szCs w:val="24"/>
              </w:rPr>
              <w:t>9.</w:t>
            </w:r>
          </w:p>
        </w:tc>
        <w:tc>
          <w:tcPr>
            <w:tcW w:w="6531" w:type="dxa"/>
          </w:tcPr>
          <w:p w:rsidR="00B0729D" w:rsidRPr="002C133D" w:rsidRDefault="00B0729D" w:rsidP="00EB71CC">
            <w:pPr>
              <w:spacing w:after="0" w:line="240" w:lineRule="auto"/>
              <w:jc w:val="both"/>
              <w:rPr>
                <w:sz w:val="24"/>
                <w:szCs w:val="24"/>
              </w:rPr>
            </w:pPr>
            <w:r w:rsidRPr="002C133D">
              <w:rPr>
                <w:sz w:val="24"/>
                <w:szCs w:val="24"/>
              </w:rPr>
              <w:t>Partnerstvo na projektima sa udruženjima potrošača</w:t>
            </w:r>
          </w:p>
        </w:tc>
        <w:tc>
          <w:tcPr>
            <w:tcW w:w="2126" w:type="dxa"/>
          </w:tcPr>
          <w:p w:rsidR="00B0729D" w:rsidRPr="002C133D" w:rsidRDefault="008B15E8" w:rsidP="0068413C">
            <w:pPr>
              <w:spacing w:after="0" w:line="240" w:lineRule="auto"/>
              <w:jc w:val="center"/>
              <w:rPr>
                <w:sz w:val="24"/>
                <w:szCs w:val="24"/>
              </w:rPr>
            </w:pPr>
            <w:r>
              <w:rPr>
                <w:sz w:val="24"/>
                <w:szCs w:val="24"/>
              </w:rPr>
              <w:t>33</w:t>
            </w:r>
            <w:r w:rsidR="00B0729D" w:rsidRPr="002C133D">
              <w:rPr>
                <w:sz w:val="24"/>
                <w:szCs w:val="24"/>
              </w:rPr>
              <w:t>%</w:t>
            </w:r>
          </w:p>
        </w:tc>
      </w:tr>
    </w:tbl>
    <w:p w:rsidR="00EA1EF3" w:rsidRDefault="00EA1EF3" w:rsidP="00EA1EF3">
      <w:pPr>
        <w:spacing w:line="240" w:lineRule="auto"/>
        <w:jc w:val="both"/>
        <w:rPr>
          <w:sz w:val="24"/>
          <w:szCs w:val="24"/>
        </w:rPr>
      </w:pPr>
    </w:p>
    <w:p w:rsidR="00BE190F" w:rsidRPr="0068413C" w:rsidRDefault="00BE190F" w:rsidP="00BE190F">
      <w:pPr>
        <w:spacing w:line="240" w:lineRule="auto"/>
        <w:rPr>
          <w:sz w:val="24"/>
          <w:szCs w:val="24"/>
        </w:rPr>
      </w:pPr>
      <w:r w:rsidRPr="00EA1776">
        <w:rPr>
          <w:rFonts w:asciiTheme="minorHAnsi" w:eastAsia="Arial" w:hAnsiTheme="minorHAnsi" w:cstheme="minorHAnsi"/>
          <w:color w:val="000000"/>
          <w:sz w:val="24"/>
          <w:szCs w:val="24"/>
        </w:rPr>
        <w:t xml:space="preserve">Instituciji ombudsmana za zaštitu potrošača u BiH, </w:t>
      </w:r>
      <w:r>
        <w:rPr>
          <w:rFonts w:asciiTheme="minorHAnsi" w:eastAsia="Arial" w:hAnsiTheme="minorHAnsi" w:cstheme="minorHAnsi"/>
          <w:color w:val="000000"/>
          <w:sz w:val="24"/>
          <w:szCs w:val="24"/>
        </w:rPr>
        <w:t xml:space="preserve">ima </w:t>
      </w:r>
      <w:r w:rsidRPr="00EA1776">
        <w:rPr>
          <w:rFonts w:asciiTheme="minorHAnsi" w:eastAsia="Arial" w:hAnsiTheme="minorHAnsi" w:cstheme="minorHAnsi"/>
          <w:color w:val="000000"/>
          <w:sz w:val="24"/>
          <w:szCs w:val="24"/>
        </w:rPr>
        <w:t>definiran je jedan Program pod nazivom “Zaštita potrošača u Bosni i Hercegovini “ .</w:t>
      </w:r>
      <w:r w:rsidRPr="00EA1776">
        <w:rPr>
          <w:rFonts w:asciiTheme="minorHAnsi" w:eastAsia="Arial" w:hAnsiTheme="minorHAnsi" w:cstheme="minorHAnsi"/>
          <w:color w:val="000000"/>
          <w:sz w:val="24"/>
          <w:szCs w:val="24"/>
        </w:rPr>
        <w:br/>
      </w:r>
      <w:r w:rsidRPr="004E50A3">
        <w:rPr>
          <w:rFonts w:asciiTheme="minorHAnsi" w:eastAsia="Arial" w:hAnsiTheme="minorHAnsi" w:cstheme="minorHAnsi"/>
          <w:b/>
          <w:color w:val="000000"/>
          <w:sz w:val="24"/>
          <w:szCs w:val="24"/>
        </w:rPr>
        <w:t>Opći cilj</w:t>
      </w:r>
      <w:r w:rsidRPr="00EA1776">
        <w:rPr>
          <w:rFonts w:asciiTheme="minorHAnsi" w:eastAsia="Arial" w:hAnsiTheme="minorHAnsi" w:cstheme="minorHAnsi"/>
          <w:color w:val="000000"/>
          <w:sz w:val="24"/>
          <w:szCs w:val="24"/>
        </w:rPr>
        <w:t xml:space="preserve"> / načela razvitka: INTEGRIRANI RAST</w:t>
      </w:r>
      <w:r w:rsidRPr="00EA1776">
        <w:rPr>
          <w:rFonts w:asciiTheme="minorHAnsi" w:eastAsia="Arial" w:hAnsiTheme="minorHAnsi" w:cstheme="minorHAnsi"/>
          <w:color w:val="000000"/>
          <w:sz w:val="24"/>
          <w:szCs w:val="24"/>
        </w:rPr>
        <w:br/>
      </w:r>
      <w:r w:rsidRPr="004E50A3">
        <w:rPr>
          <w:rFonts w:asciiTheme="minorHAnsi" w:eastAsia="Arial" w:hAnsiTheme="minorHAnsi" w:cstheme="minorHAnsi"/>
          <w:b/>
          <w:color w:val="000000"/>
          <w:sz w:val="24"/>
          <w:szCs w:val="24"/>
        </w:rPr>
        <w:t>Strateški cilj</w:t>
      </w:r>
      <w:r w:rsidRPr="00EA1776">
        <w:rPr>
          <w:rFonts w:asciiTheme="minorHAnsi" w:eastAsia="Arial" w:hAnsiTheme="minorHAnsi" w:cstheme="minorHAnsi"/>
          <w:color w:val="000000"/>
          <w:sz w:val="24"/>
          <w:szCs w:val="24"/>
        </w:rPr>
        <w:t>: Unaprijediti razvoj konkurentnog ekonomskog okružja,</w:t>
      </w:r>
      <w:r w:rsidRPr="00EA1776">
        <w:rPr>
          <w:rFonts w:asciiTheme="minorHAnsi" w:eastAsia="Arial" w:hAnsiTheme="minorHAnsi" w:cstheme="minorHAnsi"/>
          <w:color w:val="000000"/>
          <w:sz w:val="24"/>
          <w:szCs w:val="24"/>
        </w:rPr>
        <w:br/>
      </w:r>
      <w:r w:rsidRPr="004E50A3">
        <w:rPr>
          <w:rFonts w:asciiTheme="minorHAnsi" w:eastAsia="Arial" w:hAnsiTheme="minorHAnsi" w:cstheme="minorHAnsi"/>
          <w:b/>
          <w:color w:val="000000"/>
          <w:sz w:val="24"/>
          <w:szCs w:val="24"/>
        </w:rPr>
        <w:t>Srednjoročni cilj</w:t>
      </w:r>
      <w:r w:rsidRPr="00EA1776">
        <w:rPr>
          <w:rFonts w:asciiTheme="minorHAnsi" w:eastAsia="Arial" w:hAnsiTheme="minorHAnsi" w:cstheme="minorHAnsi"/>
          <w:color w:val="000000"/>
          <w:sz w:val="24"/>
          <w:szCs w:val="24"/>
        </w:rPr>
        <w:t>: Unapređenje zaštite potrošača</w:t>
      </w:r>
      <w:r w:rsidRPr="00EA1776">
        <w:rPr>
          <w:rFonts w:asciiTheme="minorHAnsi" w:eastAsia="Arial" w:hAnsiTheme="minorHAnsi" w:cstheme="minorHAnsi"/>
          <w:color w:val="000000"/>
          <w:sz w:val="24"/>
          <w:szCs w:val="24"/>
        </w:rPr>
        <w:br/>
      </w:r>
      <w:r w:rsidRPr="004E50A3">
        <w:rPr>
          <w:rFonts w:asciiTheme="minorHAnsi" w:eastAsia="Arial" w:hAnsiTheme="minorHAnsi" w:cstheme="minorHAnsi"/>
          <w:b/>
          <w:color w:val="000000"/>
          <w:sz w:val="24"/>
          <w:szCs w:val="24"/>
        </w:rPr>
        <w:t>Specifični ciljevi</w:t>
      </w:r>
      <w:r w:rsidRPr="00EA1776">
        <w:rPr>
          <w:rFonts w:asciiTheme="minorHAnsi" w:eastAsia="Arial" w:hAnsiTheme="minorHAnsi" w:cstheme="minorHAnsi"/>
          <w:color w:val="000000"/>
          <w:sz w:val="24"/>
          <w:szCs w:val="24"/>
        </w:rPr>
        <w:t>:</w:t>
      </w:r>
      <w:r>
        <w:rPr>
          <w:rFonts w:asciiTheme="minorHAnsi" w:eastAsia="Arial" w:hAnsiTheme="minorHAnsi" w:cstheme="minorHAnsi"/>
          <w:color w:val="000000"/>
          <w:sz w:val="24"/>
          <w:szCs w:val="24"/>
        </w:rPr>
        <w:t xml:space="preserve"> </w:t>
      </w:r>
      <w:r w:rsidRPr="00EA1776">
        <w:rPr>
          <w:rFonts w:asciiTheme="minorHAnsi" w:eastAsia="Arial" w:hAnsiTheme="minorHAnsi" w:cstheme="minorHAnsi"/>
          <w:color w:val="000000"/>
          <w:sz w:val="24"/>
          <w:szCs w:val="24"/>
        </w:rPr>
        <w:t>Unaprjeđenje pojedinačne i kolektivne zaštite potrošača i institucionalne suradnje s ostalim nosiocima zaštite potrošača</w:t>
      </w:r>
      <w:r>
        <w:rPr>
          <w:rFonts w:asciiTheme="minorHAnsi" w:eastAsia="Arial" w:hAnsiTheme="minorHAnsi" w:cstheme="minorHAnsi"/>
          <w:color w:val="000000"/>
          <w:sz w:val="24"/>
          <w:szCs w:val="24"/>
        </w:rPr>
        <w:t>.</w:t>
      </w:r>
    </w:p>
    <w:p w:rsidR="000B500F" w:rsidRPr="000B500F" w:rsidRDefault="006134A9" w:rsidP="000B500F">
      <w:pPr>
        <w:spacing w:line="240" w:lineRule="auto"/>
        <w:ind w:left="360"/>
        <w:jc w:val="both"/>
        <w:rPr>
          <w:b/>
          <w:sz w:val="24"/>
          <w:szCs w:val="24"/>
        </w:rPr>
      </w:pPr>
      <w:r>
        <w:rPr>
          <w:b/>
          <w:sz w:val="24"/>
          <w:szCs w:val="24"/>
        </w:rPr>
        <w:t>B</w:t>
      </w:r>
      <w:r w:rsidR="000B500F">
        <w:rPr>
          <w:b/>
          <w:sz w:val="24"/>
          <w:szCs w:val="24"/>
        </w:rPr>
        <w:t>)</w:t>
      </w:r>
      <w:r w:rsidR="000F2372">
        <w:rPr>
          <w:b/>
          <w:sz w:val="24"/>
          <w:szCs w:val="24"/>
        </w:rPr>
        <w:t xml:space="preserve"> </w:t>
      </w:r>
      <w:r w:rsidR="000B500F" w:rsidRPr="000B500F">
        <w:rPr>
          <w:b/>
          <w:sz w:val="24"/>
          <w:szCs w:val="24"/>
        </w:rPr>
        <w:t>Sredstva odobrena Proračunom za ostvarivanje utvrđenih</w:t>
      </w:r>
      <w:r w:rsidR="00E02BF7">
        <w:rPr>
          <w:b/>
          <w:sz w:val="24"/>
          <w:szCs w:val="24"/>
        </w:rPr>
        <w:t xml:space="preserve"> ciljeva u ukupnom iznosu od 377</w:t>
      </w:r>
      <w:r w:rsidR="000B500F" w:rsidRPr="000B500F">
        <w:rPr>
          <w:b/>
          <w:sz w:val="24"/>
          <w:szCs w:val="24"/>
        </w:rPr>
        <w:t xml:space="preserve">.000,00 KM </w:t>
      </w:r>
      <w:r w:rsidR="000B500F" w:rsidRPr="000F2372">
        <w:rPr>
          <w:b/>
          <w:sz w:val="24"/>
          <w:szCs w:val="24"/>
          <w:u w:val="single"/>
        </w:rPr>
        <w:t>nakon</w:t>
      </w:r>
      <w:r w:rsidR="00EC6187">
        <w:rPr>
          <w:b/>
          <w:sz w:val="24"/>
          <w:szCs w:val="24"/>
          <w:u w:val="single"/>
        </w:rPr>
        <w:t xml:space="preserve"> odobrenog</w:t>
      </w:r>
      <w:r w:rsidR="000B500F" w:rsidRPr="000F2372">
        <w:rPr>
          <w:b/>
          <w:sz w:val="24"/>
          <w:szCs w:val="24"/>
          <w:u w:val="single"/>
        </w:rPr>
        <w:t xml:space="preserve"> prerestrukturiranja</w:t>
      </w:r>
      <w:r w:rsidR="000B500F">
        <w:rPr>
          <w:b/>
          <w:sz w:val="24"/>
          <w:szCs w:val="24"/>
        </w:rPr>
        <w:t xml:space="preserve"> sredstava </w:t>
      </w:r>
      <w:r w:rsidR="000B500F" w:rsidRPr="000B500F">
        <w:rPr>
          <w:b/>
          <w:sz w:val="24"/>
          <w:szCs w:val="24"/>
        </w:rPr>
        <w:t>utrošena su namjenski, svrsishodno i zakonito prema sljedećoj strukturi: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830"/>
        <w:gridCol w:w="2424"/>
        <w:gridCol w:w="2359"/>
      </w:tblGrid>
      <w:tr w:rsidR="000B500F" w:rsidRPr="0068413C" w:rsidTr="00EB71CC">
        <w:tc>
          <w:tcPr>
            <w:tcW w:w="675" w:type="dxa"/>
          </w:tcPr>
          <w:p w:rsidR="000B500F" w:rsidRPr="0068413C" w:rsidRDefault="000B500F" w:rsidP="00EB71CC">
            <w:pPr>
              <w:spacing w:after="0" w:line="240" w:lineRule="auto"/>
              <w:jc w:val="center"/>
              <w:rPr>
                <w:b/>
                <w:sz w:val="24"/>
                <w:szCs w:val="24"/>
              </w:rPr>
            </w:pPr>
            <w:r w:rsidRPr="0068413C">
              <w:rPr>
                <w:b/>
                <w:sz w:val="24"/>
                <w:szCs w:val="24"/>
              </w:rPr>
              <w:t>Red.</w:t>
            </w:r>
          </w:p>
          <w:p w:rsidR="000B500F" w:rsidRPr="0068413C" w:rsidRDefault="000B500F" w:rsidP="00EB71CC">
            <w:pPr>
              <w:spacing w:after="0" w:line="240" w:lineRule="auto"/>
              <w:jc w:val="center"/>
              <w:rPr>
                <w:b/>
                <w:sz w:val="24"/>
                <w:szCs w:val="24"/>
              </w:rPr>
            </w:pPr>
            <w:r w:rsidRPr="0068413C">
              <w:rPr>
                <w:b/>
                <w:sz w:val="24"/>
                <w:szCs w:val="24"/>
              </w:rPr>
              <w:t>broj</w:t>
            </w:r>
          </w:p>
        </w:tc>
        <w:tc>
          <w:tcPr>
            <w:tcW w:w="3830" w:type="dxa"/>
          </w:tcPr>
          <w:p w:rsidR="000B500F" w:rsidRPr="0068413C" w:rsidRDefault="000B500F" w:rsidP="00EB71CC">
            <w:pPr>
              <w:spacing w:after="0" w:line="240" w:lineRule="auto"/>
              <w:jc w:val="center"/>
              <w:rPr>
                <w:b/>
                <w:sz w:val="24"/>
                <w:szCs w:val="24"/>
              </w:rPr>
            </w:pPr>
            <w:r w:rsidRPr="0068413C">
              <w:rPr>
                <w:b/>
                <w:sz w:val="24"/>
                <w:szCs w:val="24"/>
              </w:rPr>
              <w:t>Rashodi</w:t>
            </w:r>
          </w:p>
        </w:tc>
        <w:tc>
          <w:tcPr>
            <w:tcW w:w="2424" w:type="dxa"/>
          </w:tcPr>
          <w:p w:rsidR="000B500F" w:rsidRPr="0068413C" w:rsidRDefault="000B500F" w:rsidP="00EB71CC">
            <w:pPr>
              <w:spacing w:after="0" w:line="240" w:lineRule="auto"/>
              <w:jc w:val="center"/>
              <w:rPr>
                <w:b/>
                <w:sz w:val="24"/>
                <w:szCs w:val="24"/>
              </w:rPr>
            </w:pPr>
            <w:r w:rsidRPr="0068413C">
              <w:rPr>
                <w:b/>
                <w:sz w:val="24"/>
                <w:szCs w:val="24"/>
              </w:rPr>
              <w:t>Odobreno proračunom</w:t>
            </w:r>
            <w:r>
              <w:rPr>
                <w:b/>
                <w:sz w:val="24"/>
                <w:szCs w:val="24"/>
              </w:rPr>
              <w:t xml:space="preserve"> nakon prerestrukturiranja</w:t>
            </w:r>
          </w:p>
        </w:tc>
        <w:tc>
          <w:tcPr>
            <w:tcW w:w="2359" w:type="dxa"/>
          </w:tcPr>
          <w:p w:rsidR="000B500F" w:rsidRPr="0068413C" w:rsidRDefault="000B500F" w:rsidP="00EB71CC">
            <w:pPr>
              <w:spacing w:after="0" w:line="240" w:lineRule="auto"/>
              <w:jc w:val="center"/>
              <w:rPr>
                <w:b/>
                <w:sz w:val="24"/>
                <w:szCs w:val="24"/>
              </w:rPr>
            </w:pPr>
            <w:r w:rsidRPr="0068413C">
              <w:rPr>
                <w:b/>
                <w:sz w:val="24"/>
                <w:szCs w:val="24"/>
              </w:rPr>
              <w:t>Izvršeno</w:t>
            </w:r>
          </w:p>
        </w:tc>
      </w:tr>
      <w:tr w:rsidR="000B500F" w:rsidRPr="0068413C" w:rsidTr="00EB71CC">
        <w:tc>
          <w:tcPr>
            <w:tcW w:w="675" w:type="dxa"/>
          </w:tcPr>
          <w:p w:rsidR="000B500F" w:rsidRPr="0068413C" w:rsidRDefault="000B500F" w:rsidP="00EB71CC">
            <w:pPr>
              <w:spacing w:after="0" w:line="240" w:lineRule="auto"/>
              <w:jc w:val="both"/>
              <w:rPr>
                <w:sz w:val="24"/>
                <w:szCs w:val="24"/>
              </w:rPr>
            </w:pPr>
            <w:r w:rsidRPr="0068413C">
              <w:rPr>
                <w:sz w:val="24"/>
                <w:szCs w:val="24"/>
              </w:rPr>
              <w:t>1.</w:t>
            </w:r>
          </w:p>
        </w:tc>
        <w:tc>
          <w:tcPr>
            <w:tcW w:w="3830" w:type="dxa"/>
          </w:tcPr>
          <w:p w:rsidR="000B500F" w:rsidRPr="0068413C" w:rsidRDefault="000B500F" w:rsidP="00EB71CC">
            <w:pPr>
              <w:spacing w:after="0" w:line="240" w:lineRule="auto"/>
              <w:jc w:val="both"/>
              <w:rPr>
                <w:sz w:val="24"/>
                <w:szCs w:val="24"/>
              </w:rPr>
            </w:pPr>
            <w:r w:rsidRPr="0068413C">
              <w:rPr>
                <w:sz w:val="24"/>
                <w:szCs w:val="24"/>
              </w:rPr>
              <w:t>Plaće i naknade</w:t>
            </w:r>
          </w:p>
        </w:tc>
        <w:tc>
          <w:tcPr>
            <w:tcW w:w="2424" w:type="dxa"/>
          </w:tcPr>
          <w:p w:rsidR="000B500F" w:rsidRPr="0068413C" w:rsidRDefault="00E02BF7" w:rsidP="00EB71CC">
            <w:pPr>
              <w:spacing w:after="0" w:line="240" w:lineRule="auto"/>
              <w:jc w:val="right"/>
              <w:rPr>
                <w:sz w:val="24"/>
                <w:szCs w:val="24"/>
              </w:rPr>
            </w:pPr>
            <w:r>
              <w:rPr>
                <w:sz w:val="24"/>
                <w:szCs w:val="24"/>
              </w:rPr>
              <w:t>316</w:t>
            </w:r>
            <w:r w:rsidR="000B500F">
              <w:rPr>
                <w:sz w:val="24"/>
                <w:szCs w:val="24"/>
              </w:rPr>
              <w:t>.000</w:t>
            </w:r>
          </w:p>
        </w:tc>
        <w:tc>
          <w:tcPr>
            <w:tcW w:w="2359" w:type="dxa"/>
          </w:tcPr>
          <w:p w:rsidR="000B500F" w:rsidRPr="0068413C" w:rsidRDefault="00E02BF7" w:rsidP="00EB71CC">
            <w:pPr>
              <w:spacing w:after="0" w:line="240" w:lineRule="auto"/>
              <w:jc w:val="right"/>
              <w:rPr>
                <w:sz w:val="24"/>
                <w:szCs w:val="24"/>
              </w:rPr>
            </w:pPr>
            <w:r>
              <w:rPr>
                <w:sz w:val="24"/>
                <w:szCs w:val="24"/>
              </w:rPr>
              <w:t>293.825</w:t>
            </w:r>
          </w:p>
        </w:tc>
      </w:tr>
      <w:tr w:rsidR="000B500F" w:rsidRPr="0068413C" w:rsidTr="00EB71CC">
        <w:tc>
          <w:tcPr>
            <w:tcW w:w="675" w:type="dxa"/>
          </w:tcPr>
          <w:p w:rsidR="000B500F" w:rsidRPr="0068413C" w:rsidRDefault="000B500F" w:rsidP="00EB71CC">
            <w:pPr>
              <w:spacing w:after="0" w:line="240" w:lineRule="auto"/>
              <w:jc w:val="both"/>
              <w:rPr>
                <w:sz w:val="24"/>
                <w:szCs w:val="24"/>
              </w:rPr>
            </w:pPr>
            <w:r w:rsidRPr="0068413C">
              <w:rPr>
                <w:sz w:val="24"/>
                <w:szCs w:val="24"/>
              </w:rPr>
              <w:t>2.</w:t>
            </w:r>
          </w:p>
        </w:tc>
        <w:tc>
          <w:tcPr>
            <w:tcW w:w="3830" w:type="dxa"/>
          </w:tcPr>
          <w:p w:rsidR="000B500F" w:rsidRPr="0068413C" w:rsidRDefault="000B500F" w:rsidP="00EB71CC">
            <w:pPr>
              <w:spacing w:after="0" w:line="240" w:lineRule="auto"/>
              <w:jc w:val="both"/>
              <w:rPr>
                <w:sz w:val="24"/>
                <w:szCs w:val="24"/>
              </w:rPr>
            </w:pPr>
            <w:r w:rsidRPr="0068413C">
              <w:rPr>
                <w:sz w:val="24"/>
                <w:szCs w:val="24"/>
              </w:rPr>
              <w:t>Materijalni troškovi</w:t>
            </w:r>
          </w:p>
        </w:tc>
        <w:tc>
          <w:tcPr>
            <w:tcW w:w="2424" w:type="dxa"/>
          </w:tcPr>
          <w:p w:rsidR="000B500F" w:rsidRPr="0068413C" w:rsidRDefault="00E02BF7" w:rsidP="00EB71CC">
            <w:pPr>
              <w:spacing w:after="0" w:line="240" w:lineRule="auto"/>
              <w:jc w:val="right"/>
              <w:rPr>
                <w:sz w:val="24"/>
                <w:szCs w:val="24"/>
              </w:rPr>
            </w:pPr>
            <w:r>
              <w:rPr>
                <w:sz w:val="24"/>
                <w:szCs w:val="24"/>
              </w:rPr>
              <w:t>59</w:t>
            </w:r>
            <w:r w:rsidR="000B500F">
              <w:rPr>
                <w:sz w:val="24"/>
                <w:szCs w:val="24"/>
              </w:rPr>
              <w:t>.000</w:t>
            </w:r>
          </w:p>
        </w:tc>
        <w:tc>
          <w:tcPr>
            <w:tcW w:w="2359" w:type="dxa"/>
          </w:tcPr>
          <w:p w:rsidR="000B500F" w:rsidRPr="0068413C" w:rsidRDefault="00E02BF7" w:rsidP="00EB71CC">
            <w:pPr>
              <w:spacing w:after="0" w:line="240" w:lineRule="auto"/>
              <w:jc w:val="right"/>
              <w:rPr>
                <w:sz w:val="24"/>
                <w:szCs w:val="24"/>
              </w:rPr>
            </w:pPr>
            <w:r>
              <w:rPr>
                <w:sz w:val="24"/>
                <w:szCs w:val="24"/>
              </w:rPr>
              <w:t>44.786</w:t>
            </w:r>
          </w:p>
        </w:tc>
      </w:tr>
      <w:tr w:rsidR="000B500F" w:rsidRPr="0068413C" w:rsidTr="00EB71CC">
        <w:tc>
          <w:tcPr>
            <w:tcW w:w="675" w:type="dxa"/>
          </w:tcPr>
          <w:p w:rsidR="000B500F" w:rsidRPr="0068413C" w:rsidRDefault="000B500F" w:rsidP="00EB71CC">
            <w:pPr>
              <w:spacing w:after="0" w:line="240" w:lineRule="auto"/>
              <w:jc w:val="both"/>
              <w:rPr>
                <w:sz w:val="24"/>
                <w:szCs w:val="24"/>
              </w:rPr>
            </w:pPr>
            <w:r w:rsidRPr="0068413C">
              <w:rPr>
                <w:sz w:val="24"/>
                <w:szCs w:val="24"/>
              </w:rPr>
              <w:t>3.</w:t>
            </w:r>
          </w:p>
        </w:tc>
        <w:tc>
          <w:tcPr>
            <w:tcW w:w="3830" w:type="dxa"/>
          </w:tcPr>
          <w:p w:rsidR="000B500F" w:rsidRPr="0068413C" w:rsidRDefault="000B500F" w:rsidP="00EB71CC">
            <w:pPr>
              <w:spacing w:after="0" w:line="240" w:lineRule="auto"/>
              <w:jc w:val="both"/>
              <w:rPr>
                <w:sz w:val="24"/>
                <w:szCs w:val="24"/>
              </w:rPr>
            </w:pPr>
            <w:r w:rsidRPr="0068413C">
              <w:rPr>
                <w:sz w:val="24"/>
                <w:szCs w:val="24"/>
              </w:rPr>
              <w:t>Kapitalna ulaganja</w:t>
            </w:r>
          </w:p>
        </w:tc>
        <w:tc>
          <w:tcPr>
            <w:tcW w:w="2424" w:type="dxa"/>
          </w:tcPr>
          <w:p w:rsidR="000B500F" w:rsidRPr="0068413C" w:rsidRDefault="00E02BF7" w:rsidP="00EB71CC">
            <w:pPr>
              <w:spacing w:after="0" w:line="240" w:lineRule="auto"/>
              <w:jc w:val="right"/>
              <w:rPr>
                <w:sz w:val="24"/>
                <w:szCs w:val="24"/>
              </w:rPr>
            </w:pPr>
            <w:r>
              <w:rPr>
                <w:sz w:val="24"/>
                <w:szCs w:val="24"/>
              </w:rPr>
              <w:t>2</w:t>
            </w:r>
            <w:r w:rsidR="000B500F">
              <w:rPr>
                <w:sz w:val="24"/>
                <w:szCs w:val="24"/>
              </w:rPr>
              <w:t>.000</w:t>
            </w:r>
          </w:p>
        </w:tc>
        <w:tc>
          <w:tcPr>
            <w:tcW w:w="2359" w:type="dxa"/>
          </w:tcPr>
          <w:p w:rsidR="000B500F" w:rsidRPr="0068413C" w:rsidRDefault="00E02BF7" w:rsidP="00EB71CC">
            <w:pPr>
              <w:spacing w:after="0" w:line="240" w:lineRule="auto"/>
              <w:jc w:val="right"/>
              <w:rPr>
                <w:sz w:val="24"/>
                <w:szCs w:val="24"/>
              </w:rPr>
            </w:pPr>
            <w:r>
              <w:rPr>
                <w:sz w:val="24"/>
                <w:szCs w:val="24"/>
              </w:rPr>
              <w:t>1.884</w:t>
            </w:r>
            <w:r w:rsidR="000B500F" w:rsidRPr="0068413C">
              <w:rPr>
                <w:sz w:val="24"/>
                <w:szCs w:val="24"/>
              </w:rPr>
              <w:t xml:space="preserve"> </w:t>
            </w:r>
          </w:p>
        </w:tc>
      </w:tr>
      <w:tr w:rsidR="000B500F" w:rsidRPr="0068413C" w:rsidTr="00EB71CC">
        <w:tc>
          <w:tcPr>
            <w:tcW w:w="675" w:type="dxa"/>
          </w:tcPr>
          <w:p w:rsidR="000B500F" w:rsidRPr="0068413C" w:rsidRDefault="000B500F" w:rsidP="00EB71CC">
            <w:pPr>
              <w:spacing w:after="0" w:line="240" w:lineRule="auto"/>
              <w:jc w:val="both"/>
              <w:rPr>
                <w:sz w:val="24"/>
                <w:szCs w:val="24"/>
              </w:rPr>
            </w:pPr>
            <w:r w:rsidRPr="0068413C">
              <w:rPr>
                <w:sz w:val="24"/>
                <w:szCs w:val="24"/>
              </w:rPr>
              <w:t>4.</w:t>
            </w:r>
          </w:p>
        </w:tc>
        <w:tc>
          <w:tcPr>
            <w:tcW w:w="3830" w:type="dxa"/>
          </w:tcPr>
          <w:p w:rsidR="000B500F" w:rsidRPr="0068413C" w:rsidRDefault="000B500F" w:rsidP="00EB71CC">
            <w:pPr>
              <w:spacing w:after="0" w:line="240" w:lineRule="auto"/>
              <w:jc w:val="both"/>
              <w:rPr>
                <w:sz w:val="24"/>
                <w:szCs w:val="24"/>
              </w:rPr>
            </w:pPr>
            <w:r w:rsidRPr="0068413C">
              <w:rPr>
                <w:sz w:val="24"/>
                <w:szCs w:val="24"/>
              </w:rPr>
              <w:t>Grantovi</w:t>
            </w:r>
          </w:p>
        </w:tc>
        <w:tc>
          <w:tcPr>
            <w:tcW w:w="2424" w:type="dxa"/>
          </w:tcPr>
          <w:p w:rsidR="000B500F" w:rsidRPr="0068413C" w:rsidRDefault="000B500F" w:rsidP="00EB71CC">
            <w:pPr>
              <w:spacing w:after="0" w:line="240" w:lineRule="auto"/>
              <w:jc w:val="right"/>
              <w:rPr>
                <w:sz w:val="24"/>
                <w:szCs w:val="24"/>
              </w:rPr>
            </w:pPr>
            <w:r w:rsidRPr="0068413C">
              <w:rPr>
                <w:sz w:val="24"/>
                <w:szCs w:val="24"/>
              </w:rPr>
              <w:t>0</w:t>
            </w:r>
          </w:p>
        </w:tc>
        <w:tc>
          <w:tcPr>
            <w:tcW w:w="2359" w:type="dxa"/>
          </w:tcPr>
          <w:p w:rsidR="000B500F" w:rsidRPr="0068413C" w:rsidRDefault="000B500F" w:rsidP="00EB71CC">
            <w:pPr>
              <w:spacing w:after="0" w:line="240" w:lineRule="auto"/>
              <w:jc w:val="right"/>
              <w:rPr>
                <w:sz w:val="24"/>
                <w:szCs w:val="24"/>
              </w:rPr>
            </w:pPr>
            <w:r w:rsidRPr="0068413C">
              <w:rPr>
                <w:sz w:val="24"/>
                <w:szCs w:val="24"/>
              </w:rPr>
              <w:t>0</w:t>
            </w:r>
          </w:p>
        </w:tc>
      </w:tr>
      <w:tr w:rsidR="000B500F" w:rsidRPr="0068413C" w:rsidTr="00EB71CC">
        <w:tc>
          <w:tcPr>
            <w:tcW w:w="675" w:type="dxa"/>
          </w:tcPr>
          <w:p w:rsidR="000B500F" w:rsidRPr="0068413C" w:rsidRDefault="000B500F" w:rsidP="00EB71CC">
            <w:pPr>
              <w:spacing w:after="0" w:line="240" w:lineRule="auto"/>
              <w:jc w:val="both"/>
              <w:rPr>
                <w:sz w:val="24"/>
                <w:szCs w:val="24"/>
              </w:rPr>
            </w:pPr>
          </w:p>
        </w:tc>
        <w:tc>
          <w:tcPr>
            <w:tcW w:w="3830" w:type="dxa"/>
          </w:tcPr>
          <w:p w:rsidR="000B500F" w:rsidRPr="0068413C" w:rsidRDefault="000B500F" w:rsidP="00EB71CC">
            <w:pPr>
              <w:spacing w:after="0" w:line="240" w:lineRule="auto"/>
              <w:jc w:val="both"/>
              <w:rPr>
                <w:b/>
                <w:sz w:val="24"/>
                <w:szCs w:val="24"/>
              </w:rPr>
            </w:pPr>
            <w:r w:rsidRPr="0068413C">
              <w:rPr>
                <w:b/>
                <w:sz w:val="24"/>
                <w:szCs w:val="24"/>
              </w:rPr>
              <w:t>UKUPNO</w:t>
            </w:r>
          </w:p>
        </w:tc>
        <w:tc>
          <w:tcPr>
            <w:tcW w:w="2424" w:type="dxa"/>
          </w:tcPr>
          <w:p w:rsidR="000B500F" w:rsidRPr="0068413C" w:rsidRDefault="00E02BF7" w:rsidP="00EB71CC">
            <w:pPr>
              <w:spacing w:after="0" w:line="240" w:lineRule="auto"/>
              <w:jc w:val="right"/>
              <w:rPr>
                <w:b/>
                <w:sz w:val="24"/>
                <w:szCs w:val="24"/>
              </w:rPr>
            </w:pPr>
            <w:r>
              <w:rPr>
                <w:b/>
                <w:sz w:val="24"/>
                <w:szCs w:val="24"/>
              </w:rPr>
              <w:t>377</w:t>
            </w:r>
            <w:r w:rsidR="000B500F" w:rsidRPr="0068413C">
              <w:rPr>
                <w:b/>
                <w:sz w:val="24"/>
                <w:szCs w:val="24"/>
              </w:rPr>
              <w:t>.000</w:t>
            </w:r>
          </w:p>
        </w:tc>
        <w:tc>
          <w:tcPr>
            <w:tcW w:w="2359" w:type="dxa"/>
          </w:tcPr>
          <w:p w:rsidR="000B500F" w:rsidRPr="0068413C" w:rsidRDefault="000B500F" w:rsidP="00EB71CC">
            <w:pPr>
              <w:spacing w:after="0" w:line="240" w:lineRule="auto"/>
              <w:jc w:val="right"/>
              <w:rPr>
                <w:b/>
                <w:sz w:val="24"/>
                <w:szCs w:val="24"/>
              </w:rPr>
            </w:pPr>
            <w:r w:rsidRPr="0068413C">
              <w:rPr>
                <w:b/>
                <w:sz w:val="24"/>
                <w:szCs w:val="24"/>
              </w:rPr>
              <w:t>3</w:t>
            </w:r>
            <w:r w:rsidR="00E3126B">
              <w:rPr>
                <w:b/>
                <w:sz w:val="24"/>
                <w:szCs w:val="24"/>
              </w:rPr>
              <w:t>40.495</w:t>
            </w:r>
          </w:p>
        </w:tc>
      </w:tr>
    </w:tbl>
    <w:p w:rsidR="000B500F" w:rsidRDefault="000B500F" w:rsidP="00432468">
      <w:pPr>
        <w:spacing w:after="0" w:line="240" w:lineRule="auto"/>
        <w:jc w:val="both"/>
        <w:rPr>
          <w:sz w:val="24"/>
          <w:szCs w:val="24"/>
        </w:rPr>
      </w:pPr>
    </w:p>
    <w:p w:rsidR="006134A9" w:rsidRPr="0068413C" w:rsidRDefault="006134A9" w:rsidP="006134A9">
      <w:pPr>
        <w:spacing w:after="0" w:line="240" w:lineRule="auto"/>
        <w:jc w:val="both"/>
        <w:rPr>
          <w:sz w:val="24"/>
          <w:szCs w:val="24"/>
        </w:rPr>
      </w:pPr>
      <w:r w:rsidRPr="0068413C">
        <w:rPr>
          <w:sz w:val="24"/>
          <w:szCs w:val="24"/>
        </w:rPr>
        <w:lastRenderedPageBreak/>
        <w:t>Index realiziranja rashoda</w:t>
      </w:r>
      <w:r w:rsidR="00E02BF7">
        <w:rPr>
          <w:sz w:val="24"/>
          <w:szCs w:val="24"/>
        </w:rPr>
        <w:t xml:space="preserve"> u 2018</w:t>
      </w:r>
      <w:r w:rsidR="004E50A3">
        <w:rPr>
          <w:sz w:val="24"/>
          <w:szCs w:val="24"/>
        </w:rPr>
        <w:t>. godinu</w:t>
      </w:r>
      <w:r w:rsidRPr="0068413C">
        <w:rPr>
          <w:sz w:val="24"/>
          <w:szCs w:val="24"/>
        </w:rPr>
        <w:t xml:space="preserve"> u odnosu na odobrena proračunska sredstva za 201</w:t>
      </w:r>
      <w:r w:rsidR="00E02BF7">
        <w:rPr>
          <w:sz w:val="24"/>
          <w:szCs w:val="24"/>
        </w:rPr>
        <w:t>7</w:t>
      </w:r>
      <w:r w:rsidRPr="0068413C">
        <w:rPr>
          <w:sz w:val="24"/>
          <w:szCs w:val="24"/>
        </w:rPr>
        <w:t xml:space="preserve">. godinu iznosi </w:t>
      </w:r>
      <w:r w:rsidR="00AF7082">
        <w:rPr>
          <w:sz w:val="24"/>
          <w:szCs w:val="24"/>
        </w:rPr>
        <w:t>90,32</w:t>
      </w:r>
      <w:r w:rsidRPr="0068413C">
        <w:rPr>
          <w:sz w:val="24"/>
          <w:szCs w:val="24"/>
        </w:rPr>
        <w:t>%.</w:t>
      </w:r>
    </w:p>
    <w:p w:rsidR="006134A9" w:rsidRPr="00AF7082" w:rsidRDefault="006134A9" w:rsidP="006134A9">
      <w:pPr>
        <w:spacing w:after="0" w:line="240" w:lineRule="auto"/>
        <w:jc w:val="both"/>
        <w:rPr>
          <w:bCs/>
          <w:sz w:val="24"/>
          <w:szCs w:val="24"/>
          <w:lang w:val="hr-HR"/>
        </w:rPr>
      </w:pPr>
      <w:r w:rsidRPr="0068413C">
        <w:rPr>
          <w:sz w:val="24"/>
          <w:szCs w:val="24"/>
        </w:rPr>
        <w:t xml:space="preserve">Neiskorištena sredstva u odnosu na planirana iznose </w:t>
      </w:r>
      <w:r w:rsidR="00C74454">
        <w:rPr>
          <w:bCs/>
          <w:sz w:val="24"/>
          <w:szCs w:val="24"/>
          <w:lang w:val="hr-HR"/>
        </w:rPr>
        <w:t>36.505</w:t>
      </w:r>
      <w:r w:rsidRPr="0068413C">
        <w:rPr>
          <w:bCs/>
          <w:sz w:val="24"/>
          <w:szCs w:val="24"/>
          <w:lang w:val="hr-HR"/>
        </w:rPr>
        <w:t xml:space="preserve"> </w:t>
      </w:r>
      <w:r w:rsidRPr="0068413C">
        <w:rPr>
          <w:sz w:val="24"/>
          <w:szCs w:val="24"/>
        </w:rPr>
        <w:t>KM.</w:t>
      </w:r>
    </w:p>
    <w:p w:rsidR="004E50A3" w:rsidRPr="0068413C" w:rsidRDefault="004E50A3" w:rsidP="00432468">
      <w:pPr>
        <w:spacing w:after="0" w:line="240" w:lineRule="auto"/>
        <w:jc w:val="both"/>
        <w:rPr>
          <w:sz w:val="24"/>
          <w:szCs w:val="24"/>
        </w:rPr>
      </w:pPr>
    </w:p>
    <w:p w:rsidR="00B50856" w:rsidRPr="0032774F" w:rsidRDefault="00B50856" w:rsidP="004E50A3">
      <w:pPr>
        <w:spacing w:after="0" w:line="240" w:lineRule="auto"/>
        <w:jc w:val="center"/>
        <w:rPr>
          <w:sz w:val="24"/>
          <w:szCs w:val="24"/>
        </w:rPr>
      </w:pPr>
      <w:r w:rsidRPr="0032774F">
        <w:rPr>
          <w:b/>
          <w:sz w:val="24"/>
          <w:szCs w:val="24"/>
        </w:rPr>
        <w:t>Odstupanja  izvršenih od odobrenih rashoda rezultat su</w:t>
      </w:r>
      <w:r w:rsidRPr="0032774F">
        <w:rPr>
          <w:sz w:val="24"/>
          <w:szCs w:val="24"/>
        </w:rPr>
        <w:t>:</w:t>
      </w:r>
    </w:p>
    <w:p w:rsidR="00B50856" w:rsidRPr="0068413C" w:rsidRDefault="00B50856" w:rsidP="00EA1EF3">
      <w:pPr>
        <w:spacing w:line="240" w:lineRule="auto"/>
        <w:jc w:val="both"/>
        <w:rPr>
          <w:sz w:val="24"/>
          <w:szCs w:val="24"/>
        </w:rPr>
      </w:pPr>
    </w:p>
    <w:p w:rsidR="00EA1EF3" w:rsidRDefault="00EA1EF3" w:rsidP="00E936D9">
      <w:pPr>
        <w:spacing w:line="240" w:lineRule="auto"/>
        <w:jc w:val="both"/>
        <w:rPr>
          <w:rFonts w:asciiTheme="minorHAnsi" w:hAnsiTheme="minorHAnsi"/>
          <w:b/>
          <w:sz w:val="24"/>
          <w:szCs w:val="24"/>
        </w:rPr>
      </w:pPr>
      <w:r w:rsidRPr="0068413C">
        <w:rPr>
          <w:rFonts w:asciiTheme="minorHAnsi" w:hAnsiTheme="minorHAnsi"/>
          <w:b/>
          <w:sz w:val="24"/>
          <w:szCs w:val="24"/>
        </w:rPr>
        <w:t>Konto 6111 - Bruto plaće i naknade neiskorištena sredstva  u iznosu od</w:t>
      </w:r>
      <w:r w:rsidRPr="0068413C">
        <w:rPr>
          <w:rFonts w:asciiTheme="minorHAnsi" w:hAnsiTheme="minorHAnsi"/>
          <w:b/>
          <w:sz w:val="24"/>
          <w:szCs w:val="24"/>
        </w:rPr>
        <w:tab/>
      </w:r>
      <w:r w:rsidR="00E936D9" w:rsidRPr="0068413C">
        <w:rPr>
          <w:rFonts w:asciiTheme="minorHAnsi" w:hAnsiTheme="minorHAnsi"/>
          <w:b/>
          <w:sz w:val="24"/>
          <w:szCs w:val="24"/>
        </w:rPr>
        <w:t xml:space="preserve">          </w:t>
      </w:r>
      <w:r w:rsidR="000F6204" w:rsidRPr="0068413C">
        <w:rPr>
          <w:rFonts w:asciiTheme="minorHAnsi" w:hAnsiTheme="minorHAnsi"/>
          <w:b/>
          <w:sz w:val="24"/>
          <w:szCs w:val="24"/>
        </w:rPr>
        <w:t xml:space="preserve"> </w:t>
      </w:r>
      <w:r w:rsidR="00C96C0E">
        <w:rPr>
          <w:rFonts w:asciiTheme="minorHAnsi" w:hAnsiTheme="minorHAnsi"/>
          <w:b/>
          <w:sz w:val="24"/>
          <w:szCs w:val="24"/>
        </w:rPr>
        <w:t xml:space="preserve">  </w:t>
      </w:r>
      <w:r w:rsidR="00FB23F9">
        <w:rPr>
          <w:rFonts w:asciiTheme="minorHAnsi" w:hAnsiTheme="minorHAnsi"/>
          <w:b/>
          <w:sz w:val="24"/>
          <w:szCs w:val="24"/>
        </w:rPr>
        <w:t xml:space="preserve">    </w:t>
      </w:r>
      <w:r w:rsidR="00932914">
        <w:rPr>
          <w:rFonts w:asciiTheme="minorHAnsi" w:hAnsiTheme="minorHAnsi"/>
          <w:b/>
          <w:sz w:val="24"/>
          <w:szCs w:val="24"/>
          <w:lang w:val="hr-HR"/>
        </w:rPr>
        <w:t>11.724</w:t>
      </w:r>
      <w:r w:rsidR="00C96C0E" w:rsidRPr="00C96C0E">
        <w:rPr>
          <w:rFonts w:asciiTheme="minorHAnsi" w:hAnsiTheme="minorHAnsi"/>
          <w:b/>
          <w:sz w:val="24"/>
          <w:szCs w:val="24"/>
          <w:lang w:val="hr-HR"/>
        </w:rPr>
        <w:t xml:space="preserve"> </w:t>
      </w:r>
      <w:r w:rsidRPr="0068413C">
        <w:rPr>
          <w:rFonts w:asciiTheme="minorHAnsi" w:hAnsiTheme="minorHAnsi"/>
          <w:b/>
          <w:sz w:val="24"/>
          <w:szCs w:val="24"/>
        </w:rPr>
        <w:t>KM</w:t>
      </w:r>
    </w:p>
    <w:p w:rsidR="00932914" w:rsidRDefault="00932914" w:rsidP="00932914">
      <w:pPr>
        <w:jc w:val="both"/>
        <w:rPr>
          <w:lang w:val="hr-HR"/>
        </w:rPr>
      </w:pPr>
      <w:r w:rsidRPr="006A2757">
        <w:rPr>
          <w:lang w:val="hr-HR"/>
        </w:rPr>
        <w:t xml:space="preserve">Pravilnik o unutarnjoj organizaciji Institucije ombudsmana za zaštitu potrošača u BiH predviđa 8. (osam) uposlenika i 2. (dva) pripravnika. </w:t>
      </w:r>
      <w:r>
        <w:rPr>
          <w:lang w:val="hr-HR"/>
        </w:rPr>
        <w:t>Izuzimajući dva pripravnika  upražnjeno radno mjesto je pomoćnika direktora (odlazak u mirovinu) od rujna 2017. godine do polovine veljače 2018. godine. Internim konkursom pomenuto radno mjesto je popunjeno tako da je od plovine veljače 2018 godine ostalo upražnjeno radno mjesto stručnog</w:t>
      </w:r>
      <w:r w:rsidRPr="00E202F4">
        <w:rPr>
          <w:lang w:val="hr-HR"/>
        </w:rPr>
        <w:t xml:space="preserve"> suradnik</w:t>
      </w:r>
      <w:r>
        <w:rPr>
          <w:lang w:val="hr-HR"/>
        </w:rPr>
        <w:t>a</w:t>
      </w:r>
      <w:r w:rsidRPr="00E202F4">
        <w:rPr>
          <w:lang w:val="hr-HR"/>
        </w:rPr>
        <w:t xml:space="preserve"> za računovodstveno - financijske poslove</w:t>
      </w:r>
      <w:r>
        <w:rPr>
          <w:lang w:val="hr-HR"/>
        </w:rPr>
        <w:t>. Ostala</w:t>
      </w:r>
      <w:r w:rsidRPr="006A2757">
        <w:rPr>
          <w:lang w:val="hr-HR"/>
        </w:rPr>
        <w:t xml:space="preserve"> radna mjesta su popunjena</w:t>
      </w:r>
      <w:r>
        <w:rPr>
          <w:lang w:val="hr-HR"/>
        </w:rPr>
        <w:t xml:space="preserve"> kako je i predviđeno pravilnikom o unutarnjoj organizaciji Institucije. </w:t>
      </w:r>
    </w:p>
    <w:p w:rsidR="00932914" w:rsidRPr="006A2757" w:rsidRDefault="00932914" w:rsidP="00932914">
      <w:pPr>
        <w:jc w:val="both"/>
        <w:rPr>
          <w:lang w:val="hr-HR"/>
        </w:rPr>
      </w:pPr>
      <w:r>
        <w:rPr>
          <w:lang w:val="hr-HR"/>
        </w:rPr>
        <w:t>Napominjemo da je na radno mjesto referenta za ATP zbog korištenja porodiljskog bolovanja angažirana osoba na određeno vrijeme do povratka iste sa bolovanja. Takođe, zbog teže bolesti i dužeg korištenja bolovanja uposlenice na radnom mjestu stručnog</w:t>
      </w:r>
      <w:r w:rsidRPr="000C67B7">
        <w:rPr>
          <w:lang w:val="hr-HR"/>
        </w:rPr>
        <w:t xml:space="preserve"> suradnik</w:t>
      </w:r>
      <w:r>
        <w:rPr>
          <w:lang w:val="hr-HR"/>
        </w:rPr>
        <w:t>a</w:t>
      </w:r>
      <w:r w:rsidRPr="000C67B7">
        <w:rPr>
          <w:lang w:val="hr-HR"/>
        </w:rPr>
        <w:t xml:space="preserve"> za pravne,</w:t>
      </w:r>
      <w:r>
        <w:rPr>
          <w:lang w:val="hr-HR"/>
        </w:rPr>
        <w:t xml:space="preserve"> </w:t>
      </w:r>
      <w:r w:rsidRPr="000C67B7">
        <w:rPr>
          <w:lang w:val="hr-HR"/>
        </w:rPr>
        <w:t>kadrovske i opće poslove</w:t>
      </w:r>
      <w:r>
        <w:rPr>
          <w:lang w:val="hr-HR"/>
        </w:rPr>
        <w:t>, institucija je bila primorana povremeno angažirati osobu na određeno vrijeme kao zamjenu za istu. Nerealizirana sredstva u iznosu od 11.724 KM, odnose se najvećim dijelom od akumuliranih bruto plaća (siječanj – veljača) pomoćnika direktora, te upražnjenog radnog mjesta stručnog</w:t>
      </w:r>
      <w:r w:rsidRPr="00E202F4">
        <w:rPr>
          <w:lang w:val="hr-HR"/>
        </w:rPr>
        <w:t xml:space="preserve"> suradnik</w:t>
      </w:r>
      <w:r>
        <w:rPr>
          <w:lang w:val="hr-HR"/>
        </w:rPr>
        <w:t>a</w:t>
      </w:r>
      <w:r w:rsidRPr="00E202F4">
        <w:rPr>
          <w:lang w:val="hr-HR"/>
        </w:rPr>
        <w:t xml:space="preserve"> za računovodstveno - financijske poslove</w:t>
      </w:r>
      <w:r>
        <w:rPr>
          <w:lang w:val="hr-HR"/>
        </w:rPr>
        <w:t xml:space="preserve"> od polovine veljače 2018 do kraja godine. Dio akumuliranih sredstava</w:t>
      </w:r>
      <w:r>
        <w:rPr>
          <w:lang w:val="hr-HR"/>
        </w:rPr>
        <w:t xml:space="preserve"> ostvaren</w:t>
      </w:r>
      <w:r>
        <w:rPr>
          <w:lang w:val="hr-HR"/>
        </w:rPr>
        <w:t xml:space="preserve"> po osnovu bruto plaća od gore pomenutih upražnjenih radnih mjesta pa do provođenja procedure popunjavanja upražnjenog radnog mjesta (zbog odlaska u mirovinu</w:t>
      </w:r>
      <w:r>
        <w:rPr>
          <w:lang w:val="hr-HR"/>
        </w:rPr>
        <w:t xml:space="preserve"> te korištenja porodiljskog bolovanja kao i korištenje dužeg bolovanja zbog teške bolesti</w:t>
      </w:r>
      <w:r>
        <w:rPr>
          <w:lang w:val="hr-HR"/>
        </w:rPr>
        <w:t>) korišten je za izmirenje obaveze prema povremeno angažiranih lica na rad na određeno vrijeme.</w:t>
      </w:r>
    </w:p>
    <w:p w:rsidR="00932914" w:rsidRPr="0068413C" w:rsidRDefault="00932914" w:rsidP="00E936D9">
      <w:pPr>
        <w:spacing w:line="240" w:lineRule="auto"/>
        <w:jc w:val="both"/>
        <w:rPr>
          <w:rFonts w:asciiTheme="minorHAnsi" w:hAnsiTheme="minorHAnsi"/>
          <w:b/>
          <w:sz w:val="24"/>
          <w:szCs w:val="24"/>
        </w:rPr>
      </w:pPr>
    </w:p>
    <w:p w:rsidR="00EA1EF3" w:rsidRDefault="00EA1EF3" w:rsidP="00E77168">
      <w:pPr>
        <w:spacing w:line="240" w:lineRule="auto"/>
        <w:jc w:val="both"/>
        <w:rPr>
          <w:rFonts w:asciiTheme="minorHAnsi" w:hAnsiTheme="minorHAnsi"/>
          <w:b/>
          <w:sz w:val="24"/>
          <w:szCs w:val="24"/>
        </w:rPr>
      </w:pPr>
      <w:r w:rsidRPr="001A1BE2">
        <w:rPr>
          <w:rFonts w:asciiTheme="minorHAnsi" w:hAnsiTheme="minorHAnsi"/>
          <w:b/>
          <w:sz w:val="24"/>
          <w:szCs w:val="24"/>
        </w:rPr>
        <w:t>Konto 6112 - Naknade troškova zaposlenih neiskorištena sredstva u iznosu od</w:t>
      </w:r>
      <w:r w:rsidR="00B50856" w:rsidRPr="001A1BE2">
        <w:rPr>
          <w:rFonts w:asciiTheme="minorHAnsi" w:hAnsiTheme="minorHAnsi"/>
          <w:b/>
          <w:sz w:val="24"/>
          <w:szCs w:val="24"/>
        </w:rPr>
        <w:t xml:space="preserve"> </w:t>
      </w:r>
      <w:r w:rsidR="00136D94">
        <w:rPr>
          <w:rFonts w:asciiTheme="minorHAnsi" w:hAnsiTheme="minorHAnsi"/>
          <w:b/>
          <w:sz w:val="24"/>
          <w:szCs w:val="24"/>
        </w:rPr>
        <w:t xml:space="preserve">    10.451</w:t>
      </w:r>
      <w:r w:rsidR="00C96C0E" w:rsidRPr="00C96C0E">
        <w:rPr>
          <w:rFonts w:asciiTheme="minorHAnsi" w:hAnsiTheme="minorHAnsi"/>
          <w:b/>
          <w:sz w:val="24"/>
          <w:szCs w:val="24"/>
        </w:rPr>
        <w:t xml:space="preserve"> </w:t>
      </w:r>
      <w:r w:rsidRPr="001A1BE2">
        <w:rPr>
          <w:rFonts w:asciiTheme="minorHAnsi" w:hAnsiTheme="minorHAnsi"/>
          <w:b/>
          <w:sz w:val="24"/>
          <w:szCs w:val="24"/>
        </w:rPr>
        <w:t>KM</w:t>
      </w:r>
    </w:p>
    <w:p w:rsidR="00136D94" w:rsidRDefault="00136D94" w:rsidP="00136D94">
      <w:pPr>
        <w:jc w:val="both"/>
        <w:rPr>
          <w:lang w:val="hr-HR"/>
        </w:rPr>
      </w:pPr>
      <w:r>
        <w:rPr>
          <w:lang w:val="hr-HR"/>
        </w:rPr>
        <w:t>Ne</w:t>
      </w:r>
      <w:r w:rsidRPr="00FA2EE7">
        <w:rPr>
          <w:lang w:val="hr-HR"/>
        </w:rPr>
        <w:t>utrošena sredstva</w:t>
      </w:r>
      <w:r>
        <w:rPr>
          <w:lang w:val="hr-HR"/>
        </w:rPr>
        <w:t xml:space="preserve"> najvećim dijelom se odnose na planirane a neiskorištene naknade po osnovu smještaja u iznosu od 4.800 KM i odvojenog života u iznosu od 3.200 KM,</w:t>
      </w:r>
      <w:r>
        <w:rPr>
          <w:lang w:val="hr-HR"/>
        </w:rPr>
        <w:t xml:space="preserve"> koje je planirano za radno mjesto</w:t>
      </w:r>
      <w:r>
        <w:rPr>
          <w:lang w:val="hr-HR"/>
        </w:rPr>
        <w:t xml:space="preserve"> pomoćnik</w:t>
      </w:r>
      <w:r>
        <w:rPr>
          <w:lang w:val="hr-HR"/>
        </w:rPr>
        <w:t>a direktora</w:t>
      </w:r>
      <w:r>
        <w:rPr>
          <w:lang w:val="hr-HR"/>
        </w:rPr>
        <w:t>. Sobzirom da je na pomenuto radno mjesto angažirana osoba koja ne ispunjava kriterije na pravo za ostvarenje pomenutih naknadana</w:t>
      </w:r>
      <w:r>
        <w:rPr>
          <w:lang w:val="hr-HR"/>
        </w:rPr>
        <w:t>,</w:t>
      </w:r>
      <w:r>
        <w:rPr>
          <w:lang w:val="hr-HR"/>
        </w:rPr>
        <w:t xml:space="preserve"> stoga su sredstva ostala neiskorištena.</w:t>
      </w:r>
    </w:p>
    <w:p w:rsidR="00136D94" w:rsidRDefault="00136D94" w:rsidP="00136D94">
      <w:pPr>
        <w:jc w:val="both"/>
        <w:rPr>
          <w:lang w:val="hr-HR"/>
        </w:rPr>
      </w:pPr>
      <w:r>
        <w:rPr>
          <w:lang w:val="hr-HR"/>
        </w:rPr>
        <w:t>Takođe, Institucija je planirala sredstva u</w:t>
      </w:r>
      <w:r w:rsidRPr="00FA2EE7">
        <w:rPr>
          <w:lang w:val="hr-HR"/>
        </w:rPr>
        <w:t xml:space="preserve"> iznos</w:t>
      </w:r>
      <w:r>
        <w:rPr>
          <w:lang w:val="hr-HR"/>
        </w:rPr>
        <w:t>u od 2.514,00 KM  na poziciji 611227 – „</w:t>
      </w:r>
      <w:r w:rsidRPr="00FA2EE7">
        <w:rPr>
          <w:lang w:val="hr-HR"/>
        </w:rPr>
        <w:t>Pomoć u slučaju sm</w:t>
      </w:r>
      <w:r>
        <w:rPr>
          <w:lang w:val="hr-HR"/>
        </w:rPr>
        <w:t>rti“, koja također nisu</w:t>
      </w:r>
      <w:r w:rsidRPr="00FA2EE7">
        <w:rPr>
          <w:lang w:val="hr-HR"/>
        </w:rPr>
        <w:t xml:space="preserve"> iskorišten</w:t>
      </w:r>
      <w:r>
        <w:rPr>
          <w:lang w:val="hr-HR"/>
        </w:rPr>
        <w:t>a</w:t>
      </w:r>
      <w:r w:rsidR="00F86F1E">
        <w:rPr>
          <w:lang w:val="hr-HR"/>
        </w:rPr>
        <w:t xml:space="preserve"> iz proračunskih sredstva za 2018. godinu</w:t>
      </w:r>
      <w:r>
        <w:rPr>
          <w:lang w:val="hr-HR"/>
        </w:rPr>
        <w:t xml:space="preserve">. </w:t>
      </w:r>
    </w:p>
    <w:p w:rsidR="00136D94" w:rsidRPr="001A1BE2" w:rsidRDefault="00136D94" w:rsidP="00E77168">
      <w:pPr>
        <w:spacing w:line="240" w:lineRule="auto"/>
        <w:jc w:val="both"/>
        <w:rPr>
          <w:rFonts w:asciiTheme="minorHAnsi" w:hAnsiTheme="minorHAnsi"/>
          <w:b/>
          <w:sz w:val="24"/>
          <w:szCs w:val="24"/>
        </w:rPr>
      </w:pPr>
    </w:p>
    <w:p w:rsidR="000F6204" w:rsidRDefault="00EA1EF3" w:rsidP="00C96C0E">
      <w:pPr>
        <w:spacing w:line="240" w:lineRule="auto"/>
        <w:jc w:val="both"/>
        <w:rPr>
          <w:rFonts w:asciiTheme="minorHAnsi" w:hAnsiTheme="minorHAnsi"/>
          <w:b/>
          <w:sz w:val="24"/>
          <w:szCs w:val="24"/>
        </w:rPr>
      </w:pPr>
      <w:r w:rsidRPr="001A1BE2">
        <w:rPr>
          <w:rFonts w:asciiTheme="minorHAnsi" w:hAnsiTheme="minorHAnsi"/>
          <w:b/>
          <w:sz w:val="24"/>
          <w:szCs w:val="24"/>
        </w:rPr>
        <w:t>Na kontu 6131 - Putni troškovi neiskorištena sredstva u iznosu od</w:t>
      </w:r>
      <w:r w:rsidR="00B50856" w:rsidRPr="001A1BE2">
        <w:rPr>
          <w:rFonts w:asciiTheme="minorHAnsi" w:hAnsiTheme="minorHAnsi"/>
          <w:b/>
          <w:sz w:val="24"/>
          <w:szCs w:val="24"/>
        </w:rPr>
        <w:t xml:space="preserve"> </w:t>
      </w:r>
      <w:r w:rsidRPr="001A1BE2">
        <w:rPr>
          <w:rFonts w:asciiTheme="minorHAnsi" w:hAnsiTheme="minorHAnsi"/>
          <w:b/>
          <w:sz w:val="24"/>
          <w:szCs w:val="24"/>
        </w:rPr>
        <w:tab/>
      </w:r>
      <w:r w:rsidRPr="001A1BE2">
        <w:rPr>
          <w:rFonts w:asciiTheme="minorHAnsi" w:hAnsiTheme="minorHAnsi"/>
          <w:b/>
          <w:sz w:val="24"/>
          <w:szCs w:val="24"/>
        </w:rPr>
        <w:tab/>
      </w:r>
      <w:r w:rsidR="00C96C0E">
        <w:rPr>
          <w:rFonts w:asciiTheme="minorHAnsi" w:hAnsiTheme="minorHAnsi"/>
          <w:b/>
          <w:sz w:val="24"/>
          <w:szCs w:val="24"/>
        </w:rPr>
        <w:t xml:space="preserve">   </w:t>
      </w:r>
      <w:r w:rsidR="0057544C">
        <w:rPr>
          <w:rFonts w:asciiTheme="minorHAnsi" w:hAnsiTheme="minorHAnsi"/>
          <w:b/>
          <w:sz w:val="24"/>
          <w:szCs w:val="24"/>
        </w:rPr>
        <w:t xml:space="preserve">   1.367</w:t>
      </w:r>
      <w:r w:rsidR="00C96C0E" w:rsidRPr="00C96C0E">
        <w:rPr>
          <w:rFonts w:asciiTheme="minorHAnsi" w:hAnsiTheme="minorHAnsi"/>
          <w:b/>
          <w:sz w:val="24"/>
          <w:szCs w:val="24"/>
        </w:rPr>
        <w:t xml:space="preserve"> </w:t>
      </w:r>
      <w:r w:rsidRPr="001A1BE2">
        <w:rPr>
          <w:rFonts w:asciiTheme="minorHAnsi" w:hAnsiTheme="minorHAnsi"/>
          <w:b/>
          <w:sz w:val="24"/>
          <w:szCs w:val="24"/>
        </w:rPr>
        <w:t>KM</w:t>
      </w:r>
      <w:r w:rsidR="000F6204" w:rsidRPr="001A1BE2">
        <w:rPr>
          <w:rFonts w:asciiTheme="minorHAnsi" w:hAnsiTheme="minorHAnsi"/>
          <w:b/>
          <w:sz w:val="24"/>
          <w:szCs w:val="24"/>
        </w:rPr>
        <w:t xml:space="preserve"> </w:t>
      </w:r>
    </w:p>
    <w:p w:rsidR="0057544C" w:rsidRPr="0057544C" w:rsidRDefault="0057544C" w:rsidP="0057544C">
      <w:pPr>
        <w:jc w:val="both"/>
        <w:rPr>
          <w:lang w:val="hr-HR"/>
        </w:rPr>
      </w:pPr>
      <w:r w:rsidRPr="00BC4870">
        <w:rPr>
          <w:lang w:val="hr-HR"/>
        </w:rPr>
        <w:t>Sobzirom da se radi o manjem proračunskom korisniku sa malim brojem uposlenih teško je uskladiti redovne obveze sa planiranim službenim putovanjima. Stoga, često zbog neodložnih i prioritetnih svakodnevnih obveza</w:t>
      </w:r>
      <w:r>
        <w:rPr>
          <w:lang w:val="hr-HR"/>
        </w:rPr>
        <w:t>, neminovno je da izostanu pojedina predhodno planirana službena</w:t>
      </w:r>
      <w:r w:rsidRPr="00BC4870">
        <w:rPr>
          <w:lang w:val="hr-HR"/>
        </w:rPr>
        <w:t xml:space="preserve"> putovanja</w:t>
      </w:r>
      <w:r>
        <w:rPr>
          <w:lang w:val="hr-HR"/>
        </w:rPr>
        <w:t xml:space="preserve"> a što je ujedno i razlog što planirana sredstva nisu utr</w:t>
      </w:r>
      <w:r>
        <w:rPr>
          <w:lang w:val="hr-HR"/>
        </w:rPr>
        <w:t>ošena kako je planom predviđeno.</w:t>
      </w:r>
    </w:p>
    <w:p w:rsidR="009E1FEB"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lastRenderedPageBreak/>
        <w:t>Na kontu 6132 - Izdaci tel</w:t>
      </w:r>
      <w:r w:rsidR="009E1FEB">
        <w:rPr>
          <w:rFonts w:asciiTheme="minorHAnsi" w:hAnsiTheme="minorHAnsi"/>
          <w:b/>
          <w:sz w:val="24"/>
          <w:szCs w:val="24"/>
        </w:rPr>
        <w:t>.</w:t>
      </w:r>
      <w:r w:rsidRPr="001A1BE2">
        <w:rPr>
          <w:rFonts w:asciiTheme="minorHAnsi" w:hAnsiTheme="minorHAnsi"/>
          <w:b/>
          <w:sz w:val="24"/>
          <w:szCs w:val="24"/>
        </w:rPr>
        <w:t xml:space="preserve"> i pošt</w:t>
      </w:r>
      <w:r w:rsidR="009E1FEB">
        <w:rPr>
          <w:rFonts w:asciiTheme="minorHAnsi" w:hAnsiTheme="minorHAnsi"/>
          <w:b/>
          <w:sz w:val="24"/>
          <w:szCs w:val="24"/>
        </w:rPr>
        <w:t>. usluga</w:t>
      </w:r>
      <w:r w:rsidR="0044750E" w:rsidRPr="001A1BE2">
        <w:rPr>
          <w:rFonts w:asciiTheme="minorHAnsi" w:hAnsiTheme="minorHAnsi"/>
          <w:b/>
          <w:sz w:val="24"/>
          <w:szCs w:val="24"/>
        </w:rPr>
        <w:t xml:space="preserve"> - neiskorištena sredstva u iznosu od</w:t>
      </w:r>
      <w:r w:rsidR="009E1FEB">
        <w:rPr>
          <w:rFonts w:asciiTheme="minorHAnsi" w:hAnsiTheme="minorHAnsi"/>
          <w:b/>
          <w:sz w:val="24"/>
          <w:szCs w:val="24"/>
        </w:rPr>
        <w:tab/>
      </w:r>
      <w:r w:rsidR="004D06DF">
        <w:rPr>
          <w:rFonts w:asciiTheme="minorHAnsi" w:hAnsiTheme="minorHAnsi"/>
          <w:b/>
          <w:sz w:val="24"/>
          <w:szCs w:val="24"/>
        </w:rPr>
        <w:t xml:space="preserve">      2.594</w:t>
      </w:r>
      <w:r w:rsidR="00C96C0E" w:rsidRPr="00C96C0E">
        <w:rPr>
          <w:rFonts w:asciiTheme="minorHAnsi" w:hAnsiTheme="minorHAnsi"/>
          <w:b/>
          <w:sz w:val="24"/>
          <w:szCs w:val="24"/>
        </w:rPr>
        <w:t xml:space="preserve"> </w:t>
      </w:r>
      <w:r w:rsidRPr="001A1BE2">
        <w:rPr>
          <w:rFonts w:asciiTheme="minorHAnsi" w:hAnsiTheme="minorHAnsi"/>
          <w:b/>
          <w:sz w:val="24"/>
          <w:szCs w:val="24"/>
        </w:rPr>
        <w:t>KM</w:t>
      </w:r>
      <w:r w:rsidR="009E1FEB">
        <w:rPr>
          <w:rFonts w:asciiTheme="minorHAnsi" w:hAnsiTheme="minorHAnsi"/>
          <w:b/>
          <w:sz w:val="24"/>
          <w:szCs w:val="24"/>
        </w:rPr>
        <w:t xml:space="preserve"> </w:t>
      </w:r>
    </w:p>
    <w:p w:rsidR="004D06DF" w:rsidRPr="00FB23F9" w:rsidRDefault="00FB23F9" w:rsidP="00FB23F9">
      <w:pPr>
        <w:jc w:val="both"/>
        <w:rPr>
          <w:bCs/>
          <w:lang w:val="hr-HR"/>
        </w:rPr>
      </w:pPr>
      <w:r w:rsidRPr="00C105E4">
        <w:rPr>
          <w:bCs/>
          <w:lang w:val="hr-HR"/>
        </w:rPr>
        <w:t>Limitiranjem dozvoljenog korištenja telefonskih aparata i savjesnim korištenjem istih od strane uposlenih ostvaruju se prihvatljivi rashodi po ovoj ekonomskoj kategoriji a koji su sukladni Pravilniku o korištenju fiksnih i mobilnih telefona ("Službeni glasnik BiH"</w:t>
      </w:r>
      <w:r>
        <w:rPr>
          <w:bCs/>
          <w:lang w:val="hr-HR"/>
        </w:rPr>
        <w:t>, broj 26/14.)</w:t>
      </w:r>
      <w:r w:rsidR="001841B1" w:rsidRPr="001841B1">
        <w:rPr>
          <w:bCs/>
          <w:lang w:val="hr-HR"/>
        </w:rPr>
        <w:t xml:space="preserve"> </w:t>
      </w:r>
      <w:r w:rsidR="001841B1">
        <w:rPr>
          <w:bCs/>
          <w:lang w:val="hr-HR"/>
        </w:rPr>
        <w:t xml:space="preserve">Neiskorištena sredstva po osnovu telefonskih i poštanskih usluga za 2018 godinu, najvećim dijelom se odnose na </w:t>
      </w:r>
      <w:r w:rsidR="001841B1">
        <w:rPr>
          <w:bCs/>
          <w:lang w:val="hr-HR"/>
        </w:rPr>
        <w:t xml:space="preserve">upražnjena radna mjesta pomoćnika direktora do polovine veljače 2018 godine a nakon toga upražnjenog radnog mjesta stručnog suradnika za računovodstveno-financijske poslove. </w:t>
      </w:r>
    </w:p>
    <w:p w:rsidR="00EA1EF3" w:rsidRPr="001A1BE2"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Na kontu 6134 - Nabava materijala neiskorištena sredstva u iznosu od</w:t>
      </w:r>
      <w:r w:rsidRPr="001A1BE2">
        <w:rPr>
          <w:rFonts w:asciiTheme="minorHAnsi" w:hAnsiTheme="minorHAnsi"/>
          <w:b/>
          <w:sz w:val="24"/>
          <w:szCs w:val="24"/>
        </w:rPr>
        <w:tab/>
      </w:r>
      <w:r w:rsidRPr="001A1BE2">
        <w:rPr>
          <w:rFonts w:asciiTheme="minorHAnsi" w:hAnsiTheme="minorHAnsi"/>
          <w:b/>
          <w:sz w:val="24"/>
          <w:szCs w:val="24"/>
        </w:rPr>
        <w:tab/>
        <w:t xml:space="preserve"> </w:t>
      </w:r>
      <w:r w:rsidR="00971F7D">
        <w:rPr>
          <w:rFonts w:asciiTheme="minorHAnsi" w:hAnsiTheme="minorHAnsi"/>
          <w:b/>
          <w:sz w:val="24"/>
          <w:szCs w:val="24"/>
        </w:rPr>
        <w:t xml:space="preserve">  </w:t>
      </w:r>
      <w:r w:rsidRPr="001A1BE2">
        <w:rPr>
          <w:rFonts w:asciiTheme="minorHAnsi" w:hAnsiTheme="minorHAnsi"/>
          <w:b/>
          <w:sz w:val="24"/>
          <w:szCs w:val="24"/>
        </w:rPr>
        <w:t xml:space="preserve"> </w:t>
      </w:r>
      <w:r w:rsidR="001841B1">
        <w:rPr>
          <w:rFonts w:asciiTheme="minorHAnsi" w:hAnsiTheme="minorHAnsi"/>
          <w:b/>
          <w:sz w:val="24"/>
          <w:szCs w:val="24"/>
        </w:rPr>
        <w:t xml:space="preserve">     287</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1841B1" w:rsidRPr="00FB23F9" w:rsidRDefault="001841B1" w:rsidP="00FB23F9">
      <w:pPr>
        <w:jc w:val="both"/>
        <w:rPr>
          <w:lang w:val="hr-HR"/>
        </w:rPr>
      </w:pPr>
      <w:r w:rsidRPr="00B30E42">
        <w:rPr>
          <w:lang w:val="hr-HR"/>
        </w:rPr>
        <w:t xml:space="preserve">Na ovoj ekonomskoj poziciji </w:t>
      </w:r>
      <w:r>
        <w:rPr>
          <w:lang w:val="hr-HR"/>
        </w:rPr>
        <w:t xml:space="preserve">odstupanja su minimalna tako da su odobrena sredstva utrošena sukladno predviđenim planom. </w:t>
      </w:r>
    </w:p>
    <w:p w:rsidR="00EA1EF3"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Na kontu 6135 - Izdaci za usl. prijevoza neis</w:t>
      </w:r>
      <w:r w:rsidR="00971F7D">
        <w:rPr>
          <w:rFonts w:asciiTheme="minorHAnsi" w:hAnsiTheme="minorHAnsi"/>
          <w:b/>
          <w:sz w:val="24"/>
          <w:szCs w:val="24"/>
        </w:rPr>
        <w:t>kori</w:t>
      </w:r>
      <w:r w:rsidR="009E1FEB">
        <w:rPr>
          <w:rFonts w:asciiTheme="minorHAnsi" w:hAnsiTheme="minorHAnsi"/>
          <w:b/>
          <w:sz w:val="24"/>
          <w:szCs w:val="24"/>
        </w:rPr>
        <w:t>štena sredstva u iznosu od</w:t>
      </w:r>
      <w:r w:rsidR="009E1FEB">
        <w:rPr>
          <w:rFonts w:asciiTheme="minorHAnsi" w:hAnsiTheme="minorHAnsi"/>
          <w:b/>
          <w:sz w:val="24"/>
          <w:szCs w:val="24"/>
        </w:rPr>
        <w:tab/>
        <w:t xml:space="preserve">    </w:t>
      </w:r>
      <w:r w:rsidR="001841B1">
        <w:rPr>
          <w:rFonts w:asciiTheme="minorHAnsi" w:hAnsiTheme="minorHAnsi"/>
          <w:b/>
          <w:sz w:val="24"/>
          <w:szCs w:val="24"/>
        </w:rPr>
        <w:t xml:space="preserve">  2.025</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1841B1" w:rsidRPr="001841B1" w:rsidRDefault="001841B1" w:rsidP="001841B1">
      <w:pPr>
        <w:rPr>
          <w:lang w:val="hr-HR"/>
        </w:rPr>
      </w:pPr>
      <w:r w:rsidRPr="00B001CF">
        <w:rPr>
          <w:lang w:val="hr-HR"/>
        </w:rPr>
        <w:t>Navedena sredstva nisu u potpunosti realizirana zbog</w:t>
      </w:r>
      <w:r>
        <w:rPr>
          <w:lang w:val="hr-HR"/>
        </w:rPr>
        <w:t xml:space="preserve"> povoljnog sklapanja aranžmana vezano za registraciju vozila, te</w:t>
      </w:r>
      <w:r w:rsidRPr="00B001CF">
        <w:rPr>
          <w:lang w:val="hr-HR"/>
        </w:rPr>
        <w:t xml:space="preserve"> </w:t>
      </w:r>
      <w:r>
        <w:rPr>
          <w:lang w:val="hr-HR"/>
        </w:rPr>
        <w:t xml:space="preserve">rentbilnog </w:t>
      </w:r>
      <w:r w:rsidRPr="00B001CF">
        <w:rPr>
          <w:lang w:val="hr-HR"/>
        </w:rPr>
        <w:t>korištenja službenog vozila</w:t>
      </w:r>
      <w:r>
        <w:rPr>
          <w:lang w:val="hr-HR"/>
        </w:rPr>
        <w:t>.</w:t>
      </w:r>
      <w:r w:rsidRPr="00B001CF">
        <w:rPr>
          <w:lang w:val="hr-HR"/>
        </w:rPr>
        <w:t xml:space="preserve"> </w:t>
      </w:r>
    </w:p>
    <w:p w:rsidR="00EA1EF3"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Na kontu 6137 - Izdaci za tekuće održ.  neiskorištena sredstva u iznosu od</w:t>
      </w:r>
      <w:r w:rsidRPr="001A1BE2">
        <w:rPr>
          <w:rFonts w:asciiTheme="minorHAnsi" w:hAnsiTheme="minorHAnsi"/>
          <w:b/>
          <w:sz w:val="24"/>
          <w:szCs w:val="24"/>
        </w:rPr>
        <w:tab/>
      </w:r>
      <w:r w:rsidR="0044750E" w:rsidRPr="001A1BE2">
        <w:rPr>
          <w:rFonts w:asciiTheme="minorHAnsi" w:hAnsiTheme="minorHAnsi"/>
          <w:b/>
          <w:sz w:val="24"/>
          <w:szCs w:val="24"/>
        </w:rPr>
        <w:t xml:space="preserve"> </w:t>
      </w:r>
      <w:r w:rsidR="000F6204" w:rsidRPr="001A1BE2">
        <w:rPr>
          <w:rFonts w:asciiTheme="minorHAnsi" w:hAnsiTheme="minorHAnsi"/>
          <w:b/>
          <w:sz w:val="24"/>
          <w:szCs w:val="24"/>
        </w:rPr>
        <w:t xml:space="preserve"> </w:t>
      </w:r>
      <w:r w:rsidRPr="001A1BE2">
        <w:rPr>
          <w:rFonts w:asciiTheme="minorHAnsi" w:hAnsiTheme="minorHAnsi"/>
          <w:b/>
          <w:sz w:val="24"/>
          <w:szCs w:val="24"/>
        </w:rPr>
        <w:t xml:space="preserve"> </w:t>
      </w:r>
      <w:r w:rsidR="00F50896">
        <w:rPr>
          <w:rFonts w:asciiTheme="minorHAnsi" w:hAnsiTheme="minorHAnsi"/>
          <w:b/>
          <w:sz w:val="24"/>
          <w:szCs w:val="24"/>
        </w:rPr>
        <w:t xml:space="preserve">      5</w:t>
      </w:r>
      <w:r w:rsidR="00FB23F9">
        <w:rPr>
          <w:rFonts w:asciiTheme="minorHAnsi" w:hAnsiTheme="minorHAnsi"/>
          <w:b/>
          <w:sz w:val="24"/>
          <w:szCs w:val="24"/>
        </w:rPr>
        <w:t>10</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F50896" w:rsidRPr="00F50896" w:rsidRDefault="00F50896" w:rsidP="00F50896">
      <w:pPr>
        <w:jc w:val="both"/>
        <w:rPr>
          <w:lang w:val="hr-HR"/>
        </w:rPr>
      </w:pPr>
      <w:r w:rsidRPr="00732560">
        <w:rPr>
          <w:lang w:val="hr-HR"/>
        </w:rPr>
        <w:t>Na ovoj ekonomskoj poziciji</w:t>
      </w:r>
      <w:r>
        <w:rPr>
          <w:lang w:val="hr-HR"/>
        </w:rPr>
        <w:t xml:space="preserve"> su minimalna odstupanja u odnosu na planirana i odobrena</w:t>
      </w:r>
      <w:r w:rsidRPr="00732560">
        <w:rPr>
          <w:lang w:val="hr-HR"/>
        </w:rPr>
        <w:t xml:space="preserve"> s</w:t>
      </w:r>
      <w:r>
        <w:rPr>
          <w:lang w:val="hr-HR"/>
        </w:rPr>
        <w:t>redstva</w:t>
      </w:r>
      <w:r w:rsidRPr="00732560">
        <w:rPr>
          <w:lang w:val="hr-HR"/>
        </w:rPr>
        <w:t>.</w:t>
      </w:r>
      <w:r>
        <w:rPr>
          <w:lang w:val="hr-HR"/>
        </w:rPr>
        <w:t xml:space="preserve"> Dijelom </w:t>
      </w:r>
      <w:r>
        <w:rPr>
          <w:lang w:val="hr-HR"/>
        </w:rPr>
        <w:t>neiskorištena sredstva</w:t>
      </w:r>
      <w:r>
        <w:rPr>
          <w:lang w:val="hr-HR"/>
        </w:rPr>
        <w:t>,</w:t>
      </w:r>
      <w:r>
        <w:rPr>
          <w:lang w:val="hr-HR"/>
        </w:rPr>
        <w:t xml:space="preserve"> odnose se uglavnom na usluge i materijal po osnovu održavanja opreme i službenog vozila.</w:t>
      </w:r>
    </w:p>
    <w:p w:rsidR="00EA1EF3" w:rsidRDefault="00EA1EF3" w:rsidP="00E936D9">
      <w:pPr>
        <w:spacing w:line="240" w:lineRule="auto"/>
        <w:jc w:val="both"/>
        <w:rPr>
          <w:rFonts w:asciiTheme="minorHAnsi" w:hAnsiTheme="minorHAnsi"/>
          <w:b/>
          <w:sz w:val="24"/>
          <w:szCs w:val="24"/>
        </w:rPr>
      </w:pPr>
      <w:r w:rsidRPr="001A1BE2">
        <w:rPr>
          <w:rFonts w:asciiTheme="minorHAnsi" w:hAnsiTheme="minorHAnsi"/>
          <w:b/>
          <w:sz w:val="24"/>
          <w:szCs w:val="24"/>
        </w:rPr>
        <w:t>Na kontu 6138 - Izdaci osiguranja neiskorištena sredstva u iznosu od</w:t>
      </w:r>
      <w:r w:rsidRPr="001A1BE2">
        <w:rPr>
          <w:rFonts w:asciiTheme="minorHAnsi" w:hAnsiTheme="minorHAnsi"/>
          <w:b/>
          <w:sz w:val="24"/>
          <w:szCs w:val="24"/>
        </w:rPr>
        <w:tab/>
      </w:r>
      <w:r w:rsidRPr="001A1BE2">
        <w:rPr>
          <w:rFonts w:asciiTheme="minorHAnsi" w:hAnsiTheme="minorHAnsi"/>
          <w:b/>
          <w:sz w:val="24"/>
          <w:szCs w:val="24"/>
        </w:rPr>
        <w:tab/>
      </w:r>
      <w:r w:rsidR="009E1FEB">
        <w:rPr>
          <w:rFonts w:asciiTheme="minorHAnsi" w:hAnsiTheme="minorHAnsi"/>
          <w:b/>
          <w:sz w:val="24"/>
          <w:szCs w:val="24"/>
        </w:rPr>
        <w:t xml:space="preserve">  </w:t>
      </w:r>
      <w:r w:rsidR="0044750E" w:rsidRPr="001A1BE2">
        <w:rPr>
          <w:rFonts w:asciiTheme="minorHAnsi" w:hAnsiTheme="minorHAnsi"/>
          <w:b/>
          <w:sz w:val="24"/>
          <w:szCs w:val="24"/>
        </w:rPr>
        <w:t xml:space="preserve">  </w:t>
      </w:r>
      <w:r w:rsidR="00E936D9" w:rsidRPr="001A1BE2">
        <w:rPr>
          <w:rFonts w:asciiTheme="minorHAnsi" w:hAnsiTheme="minorHAnsi"/>
          <w:b/>
          <w:sz w:val="24"/>
          <w:szCs w:val="24"/>
        </w:rPr>
        <w:t xml:space="preserve"> </w:t>
      </w:r>
      <w:r w:rsidR="00F50896">
        <w:rPr>
          <w:rFonts w:asciiTheme="minorHAnsi" w:hAnsiTheme="minorHAnsi"/>
          <w:b/>
          <w:sz w:val="24"/>
          <w:szCs w:val="24"/>
        </w:rPr>
        <w:t xml:space="preserve">    301</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F50896" w:rsidRPr="00F50896" w:rsidRDefault="00F50896" w:rsidP="00F50896">
      <w:pPr>
        <w:jc w:val="both"/>
        <w:rPr>
          <w:bCs/>
          <w:lang w:val="hr-HR"/>
        </w:rPr>
      </w:pPr>
      <w:r w:rsidRPr="000F34AB">
        <w:rPr>
          <w:bCs/>
          <w:lang w:val="hr-HR"/>
        </w:rPr>
        <w:t xml:space="preserve">Na ovoj ekonomskoj poziciji planirana i odobrena proračunska sredstva iskazana su u iznosu od 2.000 KM. </w:t>
      </w:r>
      <w:r>
        <w:rPr>
          <w:bCs/>
          <w:lang w:val="hr-HR"/>
        </w:rPr>
        <w:t xml:space="preserve">Zbog neujednačenih cijena prilikom odabira dobavljača za kasko osiguranje, te zbog neophodnog zaokruženja iznosa prilikom podnošenja zahtjeva za proračun iskazan je iznos koji je evidentno veći od realiziranih sredstva. Odabirom povoljne osiguravajuće kuće ta razlika je još više došla do izražaja. Stoga  će se u narednom planiranju nastojati iskazati realnije potrebe po ovoj ekonomskoj kategoriji. Zbog ukazane potrebe sa ove ekonomske pozicije je izvršeno preretrukturiranje sredstava u iznosu 1.000 KM na poziciju 6131 – putni troškovi. </w:t>
      </w:r>
    </w:p>
    <w:p w:rsidR="00EA1EF3" w:rsidRDefault="00EA1EF3" w:rsidP="00E936D9">
      <w:pPr>
        <w:spacing w:line="240" w:lineRule="auto"/>
        <w:jc w:val="both"/>
        <w:rPr>
          <w:rFonts w:asciiTheme="minorHAnsi" w:hAnsiTheme="minorHAnsi"/>
          <w:b/>
          <w:sz w:val="24"/>
          <w:szCs w:val="24"/>
        </w:rPr>
      </w:pPr>
      <w:r w:rsidRPr="001A1BE2">
        <w:rPr>
          <w:rFonts w:asciiTheme="minorHAnsi" w:hAnsiTheme="minorHAnsi"/>
          <w:b/>
          <w:sz w:val="24"/>
          <w:szCs w:val="24"/>
        </w:rPr>
        <w:t xml:space="preserve">Na kontu 6139 - Ugovorene usluge neiskorištena sredstva u iznosu od </w:t>
      </w:r>
      <w:r w:rsidRPr="001A1BE2">
        <w:rPr>
          <w:rFonts w:asciiTheme="minorHAnsi" w:hAnsiTheme="minorHAnsi"/>
          <w:b/>
          <w:sz w:val="24"/>
          <w:szCs w:val="24"/>
        </w:rPr>
        <w:tab/>
      </w:r>
      <w:r w:rsidR="009E1FEB">
        <w:rPr>
          <w:rFonts w:asciiTheme="minorHAnsi" w:hAnsiTheme="minorHAnsi"/>
          <w:b/>
          <w:sz w:val="24"/>
          <w:szCs w:val="24"/>
        </w:rPr>
        <w:tab/>
      </w:r>
      <w:r w:rsidR="00F50896">
        <w:rPr>
          <w:rFonts w:asciiTheme="minorHAnsi" w:hAnsiTheme="minorHAnsi"/>
          <w:b/>
          <w:sz w:val="24"/>
          <w:szCs w:val="24"/>
        </w:rPr>
        <w:t xml:space="preserve">      7.129</w:t>
      </w:r>
      <w:r w:rsidR="009E1FEB" w:rsidRPr="009E1FEB">
        <w:rPr>
          <w:rFonts w:asciiTheme="minorHAnsi" w:hAnsiTheme="minorHAnsi"/>
          <w:b/>
          <w:sz w:val="24"/>
          <w:szCs w:val="24"/>
        </w:rPr>
        <w:t xml:space="preserve"> </w:t>
      </w:r>
      <w:r w:rsidRPr="001A1BE2">
        <w:rPr>
          <w:rFonts w:asciiTheme="minorHAnsi" w:hAnsiTheme="minorHAnsi"/>
          <w:b/>
          <w:sz w:val="24"/>
          <w:szCs w:val="24"/>
        </w:rPr>
        <w:t>KM</w:t>
      </w:r>
    </w:p>
    <w:p w:rsidR="00F50896" w:rsidRPr="00194C84" w:rsidRDefault="00F50896" w:rsidP="00F50896">
      <w:pPr>
        <w:ind w:right="328"/>
        <w:jc w:val="both"/>
        <w:rPr>
          <w:rFonts w:eastAsia="Arial"/>
        </w:rPr>
      </w:pPr>
      <w:r>
        <w:rPr>
          <w:rFonts w:eastAsia="Arial"/>
        </w:rPr>
        <w:t xml:space="preserve">Racionalnom potrošnjom ostvareno je smanjenje troškovana na skoro svim ekonomskim pozicijama po ovoj ekonomskoj kategoriji. </w:t>
      </w:r>
      <w:bookmarkStart w:id="0" w:name="_GoBack"/>
      <w:bookmarkEnd w:id="0"/>
    </w:p>
    <w:p w:rsidR="00F50896" w:rsidRPr="004154B6" w:rsidRDefault="00F50896" w:rsidP="00F50896">
      <w:pPr>
        <w:ind w:right="328"/>
        <w:jc w:val="both"/>
        <w:rPr>
          <w:rFonts w:eastAsia="Arial"/>
        </w:rPr>
      </w:pPr>
      <w:r>
        <w:rPr>
          <w:lang w:val="hr-HR"/>
        </w:rPr>
        <w:t>Sa ove ekonomske pozicije tijekom 2018. godine izvršeno je prerestrukturiranje sredstava u iznosu od 2.000 KM i sredstva preusmjerena na poziciju 6131 – putnih troškova</w:t>
      </w:r>
      <w:r w:rsidRPr="004154B6">
        <w:rPr>
          <w:rFonts w:eastAsia="Arial"/>
        </w:rPr>
        <w:t xml:space="preserve">. </w:t>
      </w:r>
    </w:p>
    <w:p w:rsidR="00F50896" w:rsidRPr="001A1BE2" w:rsidRDefault="00F50896" w:rsidP="00E936D9">
      <w:pPr>
        <w:spacing w:line="240" w:lineRule="auto"/>
        <w:jc w:val="both"/>
        <w:rPr>
          <w:rFonts w:asciiTheme="minorHAnsi" w:hAnsiTheme="minorHAnsi"/>
          <w:b/>
          <w:sz w:val="24"/>
          <w:szCs w:val="24"/>
        </w:rPr>
      </w:pPr>
    </w:p>
    <w:p w:rsidR="00EA1EF3" w:rsidRDefault="00EA1EF3" w:rsidP="00B50856">
      <w:pPr>
        <w:spacing w:line="240" w:lineRule="auto"/>
        <w:jc w:val="both"/>
        <w:rPr>
          <w:rFonts w:asciiTheme="minorHAnsi" w:hAnsiTheme="minorHAnsi"/>
          <w:b/>
          <w:sz w:val="24"/>
          <w:szCs w:val="24"/>
        </w:rPr>
      </w:pPr>
      <w:r w:rsidRPr="001A1BE2">
        <w:rPr>
          <w:rFonts w:asciiTheme="minorHAnsi" w:hAnsiTheme="minorHAnsi"/>
          <w:b/>
          <w:sz w:val="24"/>
          <w:szCs w:val="24"/>
        </w:rPr>
        <w:t>N</w:t>
      </w:r>
      <w:r w:rsidR="0044750E" w:rsidRPr="001A1BE2">
        <w:rPr>
          <w:rFonts w:asciiTheme="minorHAnsi" w:hAnsiTheme="minorHAnsi"/>
          <w:b/>
          <w:sz w:val="24"/>
          <w:szCs w:val="24"/>
        </w:rPr>
        <w:t xml:space="preserve">a kontu 8213 - Nabava opreme neiskorištena sredstva u iznosu od </w:t>
      </w:r>
      <w:r w:rsidR="0044750E" w:rsidRPr="001A1BE2">
        <w:rPr>
          <w:rFonts w:asciiTheme="minorHAnsi" w:hAnsiTheme="minorHAnsi"/>
          <w:b/>
          <w:sz w:val="24"/>
          <w:szCs w:val="24"/>
        </w:rPr>
        <w:tab/>
      </w:r>
      <w:r w:rsidR="0044750E" w:rsidRPr="001A1BE2">
        <w:rPr>
          <w:rFonts w:asciiTheme="minorHAnsi" w:hAnsiTheme="minorHAnsi"/>
          <w:b/>
          <w:sz w:val="24"/>
          <w:szCs w:val="24"/>
        </w:rPr>
        <w:tab/>
      </w:r>
      <w:r w:rsidR="009E1FEB">
        <w:rPr>
          <w:rFonts w:asciiTheme="minorHAnsi" w:hAnsiTheme="minorHAnsi"/>
          <w:b/>
          <w:sz w:val="24"/>
          <w:szCs w:val="24"/>
        </w:rPr>
        <w:t xml:space="preserve">  </w:t>
      </w:r>
      <w:r w:rsidR="0041272E">
        <w:rPr>
          <w:rFonts w:asciiTheme="minorHAnsi" w:hAnsiTheme="minorHAnsi"/>
          <w:b/>
          <w:sz w:val="24"/>
          <w:szCs w:val="24"/>
        </w:rPr>
        <w:t xml:space="preserve">       116</w:t>
      </w:r>
      <w:r w:rsidR="009E1FEB" w:rsidRPr="009E1FEB">
        <w:rPr>
          <w:rFonts w:asciiTheme="minorHAnsi" w:hAnsiTheme="minorHAnsi"/>
          <w:b/>
          <w:sz w:val="24"/>
          <w:szCs w:val="24"/>
        </w:rPr>
        <w:t xml:space="preserve"> </w:t>
      </w:r>
      <w:r w:rsidR="0044750E" w:rsidRPr="001A1BE2">
        <w:rPr>
          <w:rFonts w:asciiTheme="minorHAnsi" w:hAnsiTheme="minorHAnsi"/>
          <w:b/>
          <w:sz w:val="24"/>
          <w:szCs w:val="24"/>
        </w:rPr>
        <w:t>KM</w:t>
      </w:r>
    </w:p>
    <w:p w:rsidR="0041272E" w:rsidRDefault="0041272E" w:rsidP="00B50856">
      <w:pPr>
        <w:spacing w:line="240" w:lineRule="auto"/>
        <w:jc w:val="both"/>
        <w:rPr>
          <w:lang w:val="hr-HR"/>
        </w:rPr>
      </w:pPr>
      <w:r w:rsidRPr="00732560">
        <w:rPr>
          <w:lang w:val="hr-HR"/>
        </w:rPr>
        <w:t>Na ovoj ekonomskoj poziciji</w:t>
      </w:r>
      <w:r>
        <w:rPr>
          <w:lang w:val="hr-HR"/>
        </w:rPr>
        <w:t xml:space="preserve"> su minimalna odstupanja u odnosu na planirana i odobrena</w:t>
      </w:r>
      <w:r w:rsidRPr="00732560">
        <w:rPr>
          <w:lang w:val="hr-HR"/>
        </w:rPr>
        <w:t xml:space="preserve"> s</w:t>
      </w:r>
      <w:r>
        <w:rPr>
          <w:lang w:val="hr-HR"/>
        </w:rPr>
        <w:t>redstva</w:t>
      </w:r>
      <w:r w:rsidRPr="00732560">
        <w:rPr>
          <w:lang w:val="hr-HR"/>
        </w:rPr>
        <w:t>.</w:t>
      </w:r>
    </w:p>
    <w:p w:rsidR="0041272E" w:rsidRDefault="0041272E" w:rsidP="00B50856">
      <w:pPr>
        <w:spacing w:line="240" w:lineRule="auto"/>
        <w:jc w:val="both"/>
        <w:rPr>
          <w:rFonts w:asciiTheme="minorHAnsi" w:hAnsiTheme="minorHAnsi"/>
          <w:b/>
          <w:sz w:val="24"/>
          <w:szCs w:val="24"/>
        </w:rPr>
      </w:pPr>
    </w:p>
    <w:p w:rsidR="004E50A3" w:rsidRPr="00CE60EE" w:rsidRDefault="00CE60EE" w:rsidP="00CE60EE">
      <w:pPr>
        <w:spacing w:line="240" w:lineRule="auto"/>
        <w:ind w:left="360"/>
        <w:jc w:val="both"/>
        <w:rPr>
          <w:rFonts w:asciiTheme="minorHAnsi" w:hAnsiTheme="minorHAnsi" w:cstheme="minorHAnsi"/>
          <w:sz w:val="24"/>
          <w:szCs w:val="24"/>
        </w:rPr>
      </w:pPr>
      <w:r>
        <w:rPr>
          <w:rFonts w:asciiTheme="minorHAnsi" w:hAnsiTheme="minorHAnsi" w:cstheme="minorHAnsi"/>
          <w:b/>
          <w:sz w:val="24"/>
          <w:szCs w:val="24"/>
        </w:rPr>
        <w:lastRenderedPageBreak/>
        <w:t>C)</w:t>
      </w:r>
      <w:r w:rsidR="00432468" w:rsidRPr="00CE60EE">
        <w:rPr>
          <w:rFonts w:asciiTheme="minorHAnsi" w:hAnsiTheme="minorHAnsi" w:cstheme="minorHAnsi"/>
          <w:b/>
          <w:sz w:val="24"/>
          <w:szCs w:val="24"/>
        </w:rPr>
        <w:t>Uspostava i provođenje sustava financijskog upravljanja i kontrole :</w:t>
      </w:r>
    </w:p>
    <w:p w:rsidR="004E50A3" w:rsidRPr="00524E4D" w:rsidRDefault="004E50A3" w:rsidP="00524E4D">
      <w:pPr>
        <w:numPr>
          <w:ilvl w:val="0"/>
          <w:numId w:val="4"/>
        </w:numPr>
        <w:spacing w:after="0" w:line="240" w:lineRule="auto"/>
        <w:contextualSpacing/>
        <w:jc w:val="both"/>
        <w:rPr>
          <w:rFonts w:asciiTheme="minorHAnsi" w:eastAsiaTheme="minorHAnsi" w:hAnsiTheme="minorHAnsi" w:cstheme="minorHAnsi"/>
          <w:sz w:val="24"/>
          <w:szCs w:val="24"/>
          <w:lang w:val="hr-HR"/>
        </w:rPr>
      </w:pPr>
      <w:r w:rsidRPr="00573A98">
        <w:rPr>
          <w:rFonts w:asciiTheme="minorHAnsi" w:eastAsiaTheme="minorHAnsi" w:hAnsiTheme="minorHAnsi" w:cstheme="minorHAnsi"/>
          <w:sz w:val="24"/>
          <w:szCs w:val="24"/>
          <w:lang w:val="hr-HR"/>
        </w:rPr>
        <w:t xml:space="preserve">Institucija ombudsmana je u cilju realizacije preporuka </w:t>
      </w:r>
      <w:r>
        <w:rPr>
          <w:rFonts w:asciiTheme="minorHAnsi" w:eastAsiaTheme="minorHAnsi" w:hAnsiTheme="minorHAnsi" w:cstheme="minorHAnsi"/>
          <w:sz w:val="24"/>
          <w:szCs w:val="24"/>
          <w:lang w:val="hr-HR"/>
        </w:rPr>
        <w:t xml:space="preserve">Ureda </w:t>
      </w:r>
      <w:r w:rsidRPr="00573A98">
        <w:rPr>
          <w:rFonts w:asciiTheme="minorHAnsi" w:eastAsiaTheme="minorHAnsi" w:hAnsiTheme="minorHAnsi" w:cstheme="minorHAnsi"/>
          <w:sz w:val="24"/>
          <w:szCs w:val="24"/>
          <w:lang w:val="hr-HR"/>
        </w:rPr>
        <w:t>revizije</w:t>
      </w:r>
      <w:r>
        <w:rPr>
          <w:rFonts w:asciiTheme="minorHAnsi" w:eastAsiaTheme="minorHAnsi" w:hAnsiTheme="minorHAnsi" w:cstheme="minorHAnsi"/>
          <w:sz w:val="24"/>
          <w:szCs w:val="24"/>
          <w:lang w:val="hr-HR"/>
        </w:rPr>
        <w:t xml:space="preserve"> BiH</w:t>
      </w:r>
      <w:r w:rsidRPr="00573A98">
        <w:rPr>
          <w:rFonts w:asciiTheme="minorHAnsi" w:eastAsiaTheme="minorHAnsi" w:hAnsiTheme="minorHAnsi" w:cstheme="minorHAnsi"/>
          <w:sz w:val="24"/>
          <w:szCs w:val="24"/>
          <w:lang w:val="hr-HR"/>
        </w:rPr>
        <w:t xml:space="preserve"> iz prethodne godine nastavila sa aktivnostima uspostave efikasnog sustava financijskog upravljanja i kontrole, kao i što je provela sve potrebne radnje prije isknjižavanja imovine u skladu sa Pravilnikom o računovodstvu s računovodstvenim politikama i procedurama za korisnike proračuna institucija Bosne i Hercegovine.</w:t>
      </w:r>
    </w:p>
    <w:p w:rsidR="002461F7" w:rsidRPr="002C133D" w:rsidRDefault="002461F7" w:rsidP="002461F7">
      <w:pPr>
        <w:numPr>
          <w:ilvl w:val="0"/>
          <w:numId w:val="4"/>
        </w:numPr>
        <w:spacing w:after="0" w:line="240" w:lineRule="auto"/>
        <w:contextualSpacing/>
        <w:jc w:val="both"/>
        <w:rPr>
          <w:rFonts w:asciiTheme="minorHAnsi" w:eastAsiaTheme="minorHAnsi" w:hAnsiTheme="minorHAnsi" w:cstheme="minorHAnsi"/>
          <w:sz w:val="24"/>
          <w:szCs w:val="24"/>
          <w:lang w:val="hr-HR"/>
        </w:rPr>
      </w:pPr>
      <w:r w:rsidRPr="002C133D">
        <w:rPr>
          <w:rFonts w:asciiTheme="minorHAnsi" w:eastAsiaTheme="minorHAnsi" w:hAnsiTheme="minorHAnsi" w:cstheme="minorHAnsi"/>
          <w:sz w:val="24"/>
          <w:szCs w:val="24"/>
          <w:lang w:val="hr-HR"/>
        </w:rPr>
        <w:t>Institucija ombudsmana nije zaprimila preporuke interne revizije.</w:t>
      </w:r>
    </w:p>
    <w:p w:rsidR="00EB71CC" w:rsidRPr="00524E4D" w:rsidRDefault="002C133D" w:rsidP="00EA1EF3">
      <w:pPr>
        <w:numPr>
          <w:ilvl w:val="0"/>
          <w:numId w:val="4"/>
        </w:numPr>
        <w:spacing w:after="0" w:line="240" w:lineRule="auto"/>
        <w:contextualSpacing/>
        <w:jc w:val="both"/>
        <w:rPr>
          <w:rFonts w:asciiTheme="minorHAnsi" w:eastAsiaTheme="minorHAnsi" w:hAnsiTheme="minorHAnsi" w:cstheme="minorHAnsi"/>
          <w:sz w:val="24"/>
          <w:szCs w:val="24"/>
          <w:lang w:val="hr-HR"/>
        </w:rPr>
      </w:pPr>
      <w:r w:rsidRPr="002C133D">
        <w:rPr>
          <w:rFonts w:asciiTheme="minorHAnsi" w:eastAsiaTheme="minorHAnsi" w:hAnsiTheme="minorHAnsi" w:cstheme="minorHAnsi"/>
          <w:sz w:val="24"/>
          <w:szCs w:val="24"/>
          <w:lang w:val="hr-HR"/>
        </w:rPr>
        <w:t>sus</w:t>
      </w:r>
      <w:r w:rsidR="002461F7" w:rsidRPr="002C133D">
        <w:rPr>
          <w:rFonts w:asciiTheme="minorHAnsi" w:eastAsiaTheme="minorHAnsi" w:hAnsiTheme="minorHAnsi" w:cstheme="minorHAnsi"/>
          <w:sz w:val="24"/>
          <w:szCs w:val="24"/>
          <w:lang w:val="hr-HR"/>
        </w:rPr>
        <w:t>tav internih kontrola u instituciji ombudsmana reguliran je sljedećim internim aktima:</w:t>
      </w:r>
    </w:p>
    <w:tbl>
      <w:tblPr>
        <w:tblStyle w:val="TableGrid"/>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24"/>
      </w:tblGrid>
      <w:tr w:rsidR="00EB71CC" w:rsidTr="00EB71CC">
        <w:tc>
          <w:tcPr>
            <w:tcW w:w="9624" w:type="dxa"/>
            <w:shd w:val="clear" w:color="auto" w:fill="DBE5F1" w:themeFill="accent1" w:themeFillTint="33"/>
          </w:tcPr>
          <w:p w:rsidR="00EB71CC" w:rsidRPr="003656BD" w:rsidRDefault="00EB71CC" w:rsidP="00EB71CC">
            <w:pPr>
              <w:jc w:val="center"/>
              <w:rPr>
                <w:b/>
                <w:sz w:val="36"/>
                <w:szCs w:val="36"/>
              </w:rPr>
            </w:pPr>
            <w:r w:rsidRPr="003656BD">
              <w:rPr>
                <w:b/>
                <w:sz w:val="36"/>
                <w:szCs w:val="36"/>
              </w:rPr>
              <w:t xml:space="preserve">SPISAK INTERNIH AKATA </w:t>
            </w:r>
          </w:p>
          <w:p w:rsidR="00EB71CC" w:rsidRPr="003656BD" w:rsidRDefault="00EB71CC" w:rsidP="00EB71CC">
            <w:pPr>
              <w:jc w:val="center"/>
              <w:rPr>
                <w:b/>
                <w:sz w:val="24"/>
                <w:szCs w:val="24"/>
              </w:rPr>
            </w:pPr>
            <w:r w:rsidRPr="003656BD">
              <w:rPr>
                <w:b/>
                <w:sz w:val="24"/>
                <w:szCs w:val="24"/>
              </w:rPr>
              <w:t>koji regulišu sljedeće oblasti</w:t>
            </w:r>
          </w:p>
          <w:p w:rsidR="00EB71CC" w:rsidRDefault="00EB71CC" w:rsidP="00EB71CC"/>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Pr>
                <w:b/>
              </w:rPr>
              <w:t>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UNUTRAŠNJA ORGANIZACIJA INSTITUCIJE</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tcPr>
          <w:p w:rsidR="00EB71CC" w:rsidRDefault="00EB71CC" w:rsidP="00EB71CC">
            <w:r w:rsidRPr="009840E0">
              <w:rPr>
                <w:rFonts w:asciiTheme="majorHAnsi" w:hAnsiTheme="majorHAnsi"/>
              </w:rPr>
              <w:t>Pravila rada Institucije Ombudsmana za zaštitu potrošača u BiH</w:t>
            </w:r>
          </w:p>
        </w:tc>
        <w:tc>
          <w:tcPr>
            <w:tcW w:w="2268" w:type="dxa"/>
          </w:tcPr>
          <w:p w:rsidR="00EB71CC" w:rsidRDefault="00EB71CC" w:rsidP="00EB71CC">
            <w:r>
              <w:rPr>
                <w:rFonts w:asciiTheme="majorHAnsi" w:hAnsiTheme="majorHAnsi"/>
              </w:rPr>
              <w:t xml:space="preserve">12-1/07 </w:t>
            </w:r>
          </w:p>
        </w:tc>
        <w:tc>
          <w:tcPr>
            <w:tcW w:w="1559" w:type="dxa"/>
          </w:tcPr>
          <w:p w:rsidR="00EB71CC" w:rsidRDefault="00EB71CC" w:rsidP="00EB71CC">
            <w:r>
              <w:t>01.06.2007.</w:t>
            </w:r>
          </w:p>
        </w:tc>
      </w:tr>
      <w:tr w:rsidR="00EB71CC" w:rsidTr="00EB71CC">
        <w:tc>
          <w:tcPr>
            <w:tcW w:w="517" w:type="dxa"/>
          </w:tcPr>
          <w:p w:rsidR="00EB71CC" w:rsidRDefault="00EB71CC" w:rsidP="00EB71CC">
            <w:r>
              <w:t>2.</w:t>
            </w:r>
          </w:p>
        </w:tc>
        <w:tc>
          <w:tcPr>
            <w:tcW w:w="5290" w:type="dxa"/>
          </w:tcPr>
          <w:p w:rsidR="00EB71CC" w:rsidRDefault="00EB71CC" w:rsidP="00EB71CC">
            <w:r w:rsidRPr="009840E0">
              <w:rPr>
                <w:rFonts w:asciiTheme="majorHAnsi" w:hAnsiTheme="majorHAnsi"/>
              </w:rPr>
              <w:t>Statut Institucije Ombudsmana za zaštitu potrošača u BiH</w:t>
            </w:r>
          </w:p>
        </w:tc>
        <w:tc>
          <w:tcPr>
            <w:tcW w:w="2268" w:type="dxa"/>
          </w:tcPr>
          <w:p w:rsidR="00EB71CC" w:rsidRDefault="00EB71CC" w:rsidP="00EB71CC">
            <w:r>
              <w:rPr>
                <w:rFonts w:asciiTheme="majorHAnsi" w:hAnsiTheme="majorHAnsi"/>
              </w:rPr>
              <w:t>12-2/07</w:t>
            </w:r>
          </w:p>
        </w:tc>
        <w:tc>
          <w:tcPr>
            <w:tcW w:w="1559" w:type="dxa"/>
          </w:tcPr>
          <w:p w:rsidR="00EB71CC" w:rsidRDefault="00EB71CC" w:rsidP="00EB71CC">
            <w:r>
              <w:t>01.06.2007.</w:t>
            </w:r>
          </w:p>
        </w:tc>
      </w:tr>
      <w:tr w:rsidR="00EB71CC" w:rsidTr="00EB71CC">
        <w:tc>
          <w:tcPr>
            <w:tcW w:w="517" w:type="dxa"/>
          </w:tcPr>
          <w:p w:rsidR="00EB71CC" w:rsidRDefault="00EB71CC" w:rsidP="00EB71CC">
            <w:r>
              <w:t>3.</w:t>
            </w:r>
          </w:p>
        </w:tc>
        <w:tc>
          <w:tcPr>
            <w:tcW w:w="5290" w:type="dxa"/>
          </w:tcPr>
          <w:p w:rsidR="00EB71CC" w:rsidRPr="009840E0" w:rsidRDefault="00EB71CC" w:rsidP="00EB71CC">
            <w:pPr>
              <w:rPr>
                <w:rFonts w:asciiTheme="majorHAnsi" w:hAnsiTheme="majorHAnsi"/>
              </w:rPr>
            </w:pPr>
            <w:r w:rsidRPr="009840E0">
              <w:rPr>
                <w:rFonts w:asciiTheme="majorHAnsi" w:hAnsiTheme="majorHAnsi"/>
              </w:rPr>
              <w:t>Uvjerenje o poreznoj registraciji</w:t>
            </w:r>
          </w:p>
          <w:p w:rsidR="00EB71CC" w:rsidRDefault="00EB71CC" w:rsidP="00EB71CC">
            <w:r w:rsidRPr="009840E0">
              <w:rPr>
                <w:rFonts w:asciiTheme="majorHAnsi" w:hAnsiTheme="majorHAnsi"/>
              </w:rPr>
              <w:t>-Obavijest o razvrstavanju pravne osobe prema djelatnosti</w:t>
            </w:r>
          </w:p>
        </w:tc>
        <w:tc>
          <w:tcPr>
            <w:tcW w:w="2268" w:type="dxa"/>
          </w:tcPr>
          <w:p w:rsidR="00EB71CC" w:rsidRPr="00D0218B" w:rsidRDefault="00EB71CC" w:rsidP="00EB71CC">
            <w:pPr>
              <w:rPr>
                <w:rFonts w:asciiTheme="majorHAnsi" w:hAnsiTheme="majorHAnsi"/>
              </w:rPr>
            </w:pPr>
            <w:r w:rsidRPr="009840E0">
              <w:rPr>
                <w:rFonts w:asciiTheme="majorHAnsi" w:hAnsiTheme="majorHAnsi"/>
              </w:rPr>
              <w:t>04-32.5-1-42275259</w:t>
            </w:r>
            <w:r>
              <w:rPr>
                <w:rFonts w:asciiTheme="majorHAnsi" w:hAnsiTheme="majorHAnsi"/>
              </w:rPr>
              <w:t xml:space="preserve"> </w:t>
            </w:r>
            <w:r w:rsidRPr="009840E0">
              <w:rPr>
                <w:rFonts w:asciiTheme="majorHAnsi" w:hAnsiTheme="majorHAnsi"/>
              </w:rPr>
              <w:t>60004/04</w:t>
            </w:r>
          </w:p>
        </w:tc>
        <w:tc>
          <w:tcPr>
            <w:tcW w:w="1559" w:type="dxa"/>
          </w:tcPr>
          <w:p w:rsidR="00EB71CC" w:rsidRDefault="00EB71CC" w:rsidP="00EB71CC">
            <w:r>
              <w:t>29.06.2007.</w:t>
            </w:r>
          </w:p>
          <w:p w:rsidR="00EB71CC" w:rsidRDefault="00EB71CC" w:rsidP="00EB71CC">
            <w:r>
              <w:t>02.02.2007.</w:t>
            </w:r>
          </w:p>
        </w:tc>
      </w:tr>
      <w:tr w:rsidR="00EB71CC" w:rsidTr="00EB71CC">
        <w:tc>
          <w:tcPr>
            <w:tcW w:w="517" w:type="dxa"/>
          </w:tcPr>
          <w:p w:rsidR="00EB71CC" w:rsidRDefault="00EB71CC" w:rsidP="00EB71CC">
            <w:r>
              <w:t>4.</w:t>
            </w:r>
          </w:p>
        </w:tc>
        <w:tc>
          <w:tcPr>
            <w:tcW w:w="5290" w:type="dxa"/>
            <w:vAlign w:val="center"/>
          </w:tcPr>
          <w:p w:rsidR="00EB71CC" w:rsidRPr="009840E0" w:rsidRDefault="00EB71CC" w:rsidP="00EB71CC">
            <w:pPr>
              <w:rPr>
                <w:rFonts w:ascii="Cambria" w:hAnsi="Cambria"/>
                <w:lang w:val="hr-BA"/>
              </w:rPr>
            </w:pPr>
            <w:r w:rsidRPr="009840E0">
              <w:rPr>
                <w:rFonts w:ascii="Cambria" w:hAnsi="Cambria"/>
                <w:lang w:val="hr-BA"/>
              </w:rPr>
              <w:t>Pravilnik o unutarnjoj organizaciji institucije ombudsmana za zaštitu potrošača u Bosni i Hercegovini (prečišćeni tekst)</w:t>
            </w:r>
          </w:p>
        </w:tc>
        <w:tc>
          <w:tcPr>
            <w:tcW w:w="2268" w:type="dxa"/>
            <w:vAlign w:val="center"/>
          </w:tcPr>
          <w:p w:rsidR="00EB71CC" w:rsidRPr="009840E0" w:rsidRDefault="00EB71CC" w:rsidP="00EB71CC">
            <w:pPr>
              <w:rPr>
                <w:rFonts w:ascii="Cambria" w:hAnsi="Cambria" w:cs="Tahoma"/>
              </w:rPr>
            </w:pPr>
            <w:r>
              <w:rPr>
                <w:rFonts w:ascii="Cambria" w:hAnsi="Cambria" w:cs="Tahoma"/>
              </w:rPr>
              <w:t xml:space="preserve">01-02-3-319-11/15 </w:t>
            </w:r>
          </w:p>
        </w:tc>
        <w:tc>
          <w:tcPr>
            <w:tcW w:w="1559" w:type="dxa"/>
          </w:tcPr>
          <w:p w:rsidR="00EB71CC" w:rsidRDefault="00EB71CC" w:rsidP="00EB71CC"/>
          <w:p w:rsidR="00EB71CC" w:rsidRDefault="00EB71CC" w:rsidP="00EB71CC">
            <w:r>
              <w:t>18.08.2015.</w:t>
            </w:r>
          </w:p>
        </w:tc>
      </w:tr>
      <w:tr w:rsidR="00EB71CC" w:rsidTr="00EB71CC">
        <w:tc>
          <w:tcPr>
            <w:tcW w:w="517" w:type="dxa"/>
          </w:tcPr>
          <w:p w:rsidR="00EB71CC" w:rsidRDefault="00EB71CC" w:rsidP="00EB71CC">
            <w:r>
              <w:t>5.</w:t>
            </w:r>
          </w:p>
        </w:tc>
        <w:tc>
          <w:tcPr>
            <w:tcW w:w="5290" w:type="dxa"/>
            <w:vAlign w:val="center"/>
          </w:tcPr>
          <w:p w:rsidR="00EB71CC" w:rsidRPr="009840E0" w:rsidRDefault="00EB71CC" w:rsidP="00EB71CC">
            <w:pPr>
              <w:rPr>
                <w:rFonts w:ascii="Cambria" w:hAnsi="Cambria"/>
                <w:lang w:val="hr-BA"/>
              </w:rPr>
            </w:pPr>
            <w:r w:rsidRPr="009840E0">
              <w:rPr>
                <w:rFonts w:ascii="Cambria" w:hAnsi="Cambria"/>
                <w:lang w:val="hr-BA"/>
              </w:rPr>
              <w:t>Pravilnik o provedbi Pravila za konzultacije u izradi pravnih propisa u Instituciji ombudsmana za zaštitu potrošača u Bosni i Hercegovini</w:t>
            </w:r>
          </w:p>
        </w:tc>
        <w:tc>
          <w:tcPr>
            <w:tcW w:w="2268" w:type="dxa"/>
            <w:vAlign w:val="center"/>
          </w:tcPr>
          <w:p w:rsidR="00EB71CC" w:rsidRPr="009840E0" w:rsidRDefault="00EB71CC" w:rsidP="00EB71CC">
            <w:pPr>
              <w:rPr>
                <w:rFonts w:ascii="Cambria" w:hAnsi="Cambria" w:cs="Tahoma"/>
              </w:rPr>
            </w:pPr>
            <w:r w:rsidRPr="009840E0">
              <w:rPr>
                <w:rFonts w:ascii="Cambria" w:hAnsi="Cambria" w:cs="Tahoma"/>
              </w:rPr>
              <w:t>01-02-</w:t>
            </w:r>
            <w:r>
              <w:rPr>
                <w:rFonts w:ascii="Cambria" w:hAnsi="Cambria" w:cs="Tahoma"/>
              </w:rPr>
              <w:t xml:space="preserve">3-491-1/15 </w:t>
            </w:r>
          </w:p>
        </w:tc>
        <w:tc>
          <w:tcPr>
            <w:tcW w:w="1559" w:type="dxa"/>
          </w:tcPr>
          <w:p w:rsidR="00EB71CC" w:rsidRDefault="00EB71CC" w:rsidP="00EB71CC"/>
          <w:p w:rsidR="00EB71CC" w:rsidRDefault="00EB71CC" w:rsidP="00EB71CC">
            <w:r>
              <w:t>05.11.2015.</w:t>
            </w:r>
          </w:p>
        </w:tc>
      </w:tr>
    </w:tbl>
    <w:p w:rsidR="00EB71CC" w:rsidRPr="00A64B08" w:rsidRDefault="00EB71CC" w:rsidP="00EB71CC">
      <w:pPr>
        <w:spacing w:after="0" w:line="240" w:lineRule="auto"/>
        <w:rPr>
          <w:b/>
        </w:rPr>
      </w:pPr>
    </w:p>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Pr>
                <w:b/>
              </w:rPr>
              <w:t>I</w:t>
            </w:r>
            <w:r w:rsidR="0012713F">
              <w:rPr>
                <w:b/>
              </w:rPr>
              <w:t>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sidRPr="00A64B08">
              <w:rPr>
                <w:b/>
              </w:rPr>
              <w:t>STVARANJE OBAVEZA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tcPr>
          <w:p w:rsidR="00EB71CC" w:rsidRDefault="00EB71CC" w:rsidP="00EB71CC">
            <w:pPr>
              <w:rPr>
                <w:rFonts w:asciiTheme="majorHAnsi" w:hAnsiTheme="majorHAnsi"/>
              </w:rPr>
            </w:pPr>
            <w:r w:rsidRPr="009840E0">
              <w:rPr>
                <w:rFonts w:asciiTheme="majorHAnsi" w:hAnsiTheme="majorHAnsi"/>
              </w:rPr>
              <w:t>Pravilnik o internim procedurama stvaranja  i evidentiranja obaveza i načinu potpisivanja finansijske dokumentacije u Instituciji Ombudsmana za zaštitu potrošača u BiH</w:t>
            </w:r>
            <w:r>
              <w:rPr>
                <w:rFonts w:asciiTheme="majorHAnsi" w:hAnsiTheme="majorHAnsi"/>
              </w:rPr>
              <w:t>,</w:t>
            </w:r>
          </w:p>
          <w:p w:rsidR="00EB71CC" w:rsidRDefault="00EB71CC" w:rsidP="00EB71CC">
            <w:r w:rsidRPr="009840E0">
              <w:rPr>
                <w:rFonts w:asciiTheme="majorHAnsi" w:hAnsiTheme="majorHAnsi"/>
              </w:rPr>
              <w:t>Interne procedure  o procesu izrade proračuna</w:t>
            </w:r>
          </w:p>
        </w:tc>
        <w:tc>
          <w:tcPr>
            <w:tcW w:w="2268" w:type="dxa"/>
          </w:tcPr>
          <w:p w:rsidR="00EB71CC" w:rsidRPr="009840E0" w:rsidRDefault="00EB71CC" w:rsidP="00EB71CC">
            <w:pPr>
              <w:spacing w:after="200" w:line="276" w:lineRule="auto"/>
              <w:jc w:val="both"/>
              <w:rPr>
                <w:rFonts w:asciiTheme="majorHAnsi" w:hAnsiTheme="majorHAnsi"/>
              </w:rPr>
            </w:pPr>
            <w:r>
              <w:rPr>
                <w:rFonts w:asciiTheme="majorHAnsi" w:hAnsiTheme="majorHAnsi"/>
              </w:rPr>
              <w:t xml:space="preserve">01-516-418/09 </w:t>
            </w:r>
          </w:p>
          <w:p w:rsidR="00EB71CC" w:rsidRDefault="00EB71CC" w:rsidP="00EB71CC">
            <w:pPr>
              <w:jc w:val="both"/>
              <w:rPr>
                <w:rFonts w:asciiTheme="majorHAnsi" w:hAnsiTheme="majorHAnsi"/>
              </w:rPr>
            </w:pPr>
          </w:p>
          <w:p w:rsidR="00EB71CC" w:rsidRDefault="00EB71CC" w:rsidP="00EB71CC">
            <w:pPr>
              <w:jc w:val="both"/>
              <w:rPr>
                <w:rFonts w:asciiTheme="majorHAnsi" w:hAnsiTheme="majorHAnsi"/>
              </w:rPr>
            </w:pPr>
          </w:p>
          <w:p w:rsidR="00EB71CC" w:rsidRDefault="00EB71CC" w:rsidP="00EB71CC">
            <w:pPr>
              <w:jc w:val="both"/>
            </w:pPr>
            <w:r w:rsidRPr="009840E0">
              <w:rPr>
                <w:rFonts w:asciiTheme="majorHAnsi" w:hAnsiTheme="majorHAnsi"/>
              </w:rPr>
              <w:t>01-1-</w:t>
            </w:r>
            <w:r>
              <w:rPr>
                <w:rFonts w:asciiTheme="majorHAnsi" w:hAnsiTheme="majorHAnsi"/>
              </w:rPr>
              <w:t xml:space="preserve">16-1-279/10 </w:t>
            </w:r>
          </w:p>
        </w:tc>
        <w:tc>
          <w:tcPr>
            <w:tcW w:w="1559" w:type="dxa"/>
          </w:tcPr>
          <w:p w:rsidR="00EB71CC" w:rsidRDefault="00EB71CC" w:rsidP="00EB71CC">
            <w:r>
              <w:t>09.10.2009.</w:t>
            </w:r>
          </w:p>
          <w:p w:rsidR="00EB71CC" w:rsidRDefault="00EB71CC" w:rsidP="00EB71CC"/>
          <w:p w:rsidR="00EB71CC" w:rsidRDefault="00EB71CC" w:rsidP="00EB71CC"/>
          <w:p w:rsidR="00EB71CC" w:rsidRDefault="00EB71CC" w:rsidP="00EB71CC"/>
          <w:p w:rsidR="00EB71CC" w:rsidRDefault="00EB71CC" w:rsidP="00EB71CC">
            <w:r>
              <w:t>13.08.2010.</w:t>
            </w:r>
          </w:p>
        </w:tc>
      </w:tr>
      <w:tr w:rsidR="00EB71CC" w:rsidTr="00EB71CC">
        <w:tc>
          <w:tcPr>
            <w:tcW w:w="517" w:type="dxa"/>
          </w:tcPr>
          <w:p w:rsidR="00EB71CC" w:rsidRDefault="00EB71CC" w:rsidP="00EB71CC"/>
        </w:tc>
        <w:tc>
          <w:tcPr>
            <w:tcW w:w="5290" w:type="dxa"/>
          </w:tcPr>
          <w:p w:rsidR="00EB71CC" w:rsidRDefault="00EB71CC" w:rsidP="00EB71CC"/>
        </w:tc>
        <w:tc>
          <w:tcPr>
            <w:tcW w:w="2268" w:type="dxa"/>
          </w:tcPr>
          <w:p w:rsidR="00EB71CC" w:rsidRDefault="00EB71CC" w:rsidP="00EB71CC"/>
        </w:tc>
        <w:tc>
          <w:tcPr>
            <w:tcW w:w="1559" w:type="dxa"/>
          </w:tcPr>
          <w:p w:rsidR="00EB71CC" w:rsidRDefault="00EB71CC" w:rsidP="00EB71CC"/>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Pr>
                <w:b/>
              </w:rPr>
              <w:t>II</w:t>
            </w:r>
            <w:r w:rsidR="0012713F">
              <w:rPr>
                <w:b/>
              </w:rPr>
              <w:t>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EVIDENTIRANJE I UNOS PODATAKA U ISFU SISTEM</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jc w:val="center"/>
              <w:rPr>
                <w:rFonts w:ascii="Cambria" w:hAnsi="Cambria"/>
                <w:lang w:val="hr-BA"/>
              </w:rPr>
            </w:pPr>
          </w:p>
          <w:p w:rsidR="00EB71CC" w:rsidRPr="009840E0" w:rsidRDefault="00EB71CC" w:rsidP="00524E4D">
            <w:pPr>
              <w:rPr>
                <w:rFonts w:ascii="Cambria" w:hAnsi="Cambria"/>
                <w:lang w:val="hr-BA"/>
              </w:rPr>
            </w:pPr>
            <w:r w:rsidRPr="009840E0">
              <w:rPr>
                <w:rFonts w:ascii="Cambria" w:hAnsi="Cambria"/>
                <w:lang w:val="hr-BA"/>
              </w:rPr>
              <w:t>Odluka o definiranju i klasifikaciji funkcija kojima pripadaju rashodi Institucije ombudsmana za zaštitu potrošača u Bosni i Hercegovini</w:t>
            </w:r>
          </w:p>
        </w:tc>
        <w:tc>
          <w:tcPr>
            <w:tcW w:w="2268" w:type="dxa"/>
            <w:vAlign w:val="center"/>
          </w:tcPr>
          <w:p w:rsidR="00EB71CC" w:rsidRPr="009840E0" w:rsidRDefault="00EB71CC" w:rsidP="00EB71CC">
            <w:pPr>
              <w:rPr>
                <w:rFonts w:ascii="Cambria" w:hAnsi="Cambria" w:cs="Tahoma"/>
              </w:rPr>
            </w:pPr>
            <w:r w:rsidRPr="009840E0">
              <w:rPr>
                <w:rFonts w:ascii="Cambria" w:hAnsi="Cambria" w:cs="Tahoma"/>
              </w:rPr>
              <w:t>05-02-3-120-1/15</w:t>
            </w:r>
          </w:p>
        </w:tc>
        <w:tc>
          <w:tcPr>
            <w:tcW w:w="1559" w:type="dxa"/>
          </w:tcPr>
          <w:p w:rsidR="00EB71CC" w:rsidRDefault="00EB71CC" w:rsidP="00EB71CC">
            <w:r>
              <w:t>13.03.2015.</w:t>
            </w:r>
          </w:p>
        </w:tc>
      </w:tr>
    </w:tbl>
    <w:p w:rsidR="00EB71CC" w:rsidRDefault="00EB71CC" w:rsidP="00EB71CC"/>
    <w:tbl>
      <w:tblPr>
        <w:tblStyle w:val="TableGrid"/>
        <w:tblW w:w="9747" w:type="dxa"/>
        <w:tblLook w:val="04A0" w:firstRow="1" w:lastRow="0" w:firstColumn="1" w:lastColumn="0" w:noHBand="0" w:noVBand="1"/>
      </w:tblPr>
      <w:tblGrid>
        <w:gridCol w:w="113"/>
        <w:gridCol w:w="404"/>
        <w:gridCol w:w="113"/>
        <w:gridCol w:w="5177"/>
        <w:gridCol w:w="113"/>
        <w:gridCol w:w="2155"/>
        <w:gridCol w:w="113"/>
        <w:gridCol w:w="1446"/>
        <w:gridCol w:w="113"/>
      </w:tblGrid>
      <w:tr w:rsidR="00EB71CC" w:rsidTr="00524E4D">
        <w:trPr>
          <w:gridAfter w:val="1"/>
          <w:wAfter w:w="113" w:type="dxa"/>
        </w:trPr>
        <w:tc>
          <w:tcPr>
            <w:tcW w:w="517" w:type="dxa"/>
            <w:gridSpan w:val="2"/>
            <w:tcBorders>
              <w:right w:val="nil"/>
            </w:tcBorders>
            <w:shd w:val="clear" w:color="auto" w:fill="D9D9D9" w:themeFill="background1" w:themeFillShade="D9"/>
          </w:tcPr>
          <w:p w:rsidR="00EB71CC" w:rsidRDefault="0012713F" w:rsidP="00EB71CC">
            <w:pPr>
              <w:jc w:val="center"/>
            </w:pPr>
            <w:r>
              <w:rPr>
                <w:b/>
              </w:rPr>
              <w:t>IV</w:t>
            </w:r>
          </w:p>
        </w:tc>
        <w:tc>
          <w:tcPr>
            <w:tcW w:w="9117" w:type="dxa"/>
            <w:gridSpan w:val="6"/>
            <w:tcBorders>
              <w:left w:val="nil"/>
            </w:tcBorders>
            <w:shd w:val="clear" w:color="auto" w:fill="D9D9D9" w:themeFill="background1" w:themeFillShade="D9"/>
          </w:tcPr>
          <w:p w:rsidR="00EB71CC" w:rsidRPr="00A64B08" w:rsidRDefault="00EB71CC" w:rsidP="00EB71CC">
            <w:pPr>
              <w:jc w:val="center"/>
              <w:rPr>
                <w:b/>
              </w:rPr>
            </w:pPr>
            <w:r>
              <w:rPr>
                <w:b/>
              </w:rPr>
              <w:t>BLAGAJNIČKO POSLOVANJE</w:t>
            </w:r>
          </w:p>
        </w:tc>
      </w:tr>
      <w:tr w:rsidR="00EB71CC" w:rsidTr="00524E4D">
        <w:trPr>
          <w:gridAfter w:val="1"/>
          <w:wAfter w:w="113" w:type="dxa"/>
        </w:trPr>
        <w:tc>
          <w:tcPr>
            <w:tcW w:w="517" w:type="dxa"/>
            <w:gridSpan w:val="2"/>
            <w:shd w:val="clear" w:color="auto" w:fill="F2F2F2" w:themeFill="background1" w:themeFillShade="F2"/>
          </w:tcPr>
          <w:p w:rsidR="00EB71CC" w:rsidRPr="00A64B08" w:rsidRDefault="00EB71CC" w:rsidP="00EB71CC">
            <w:pPr>
              <w:jc w:val="center"/>
              <w:rPr>
                <w:b/>
              </w:rPr>
            </w:pPr>
            <w:r w:rsidRPr="00A64B08">
              <w:rPr>
                <w:b/>
              </w:rPr>
              <w:lastRenderedPageBreak/>
              <w:t>Rb</w:t>
            </w:r>
            <w:r>
              <w:rPr>
                <w:b/>
              </w:rPr>
              <w:t>.</w:t>
            </w:r>
          </w:p>
        </w:tc>
        <w:tc>
          <w:tcPr>
            <w:tcW w:w="5290" w:type="dxa"/>
            <w:gridSpan w:val="2"/>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gridSpan w:val="2"/>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gridSpan w:val="2"/>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524E4D">
        <w:trPr>
          <w:gridAfter w:val="1"/>
          <w:wAfter w:w="113" w:type="dxa"/>
        </w:trPr>
        <w:tc>
          <w:tcPr>
            <w:tcW w:w="517" w:type="dxa"/>
            <w:gridSpan w:val="2"/>
          </w:tcPr>
          <w:p w:rsidR="00EB71CC" w:rsidRDefault="00EB71CC" w:rsidP="00EB71CC">
            <w:r>
              <w:t>1.</w:t>
            </w:r>
          </w:p>
        </w:tc>
        <w:tc>
          <w:tcPr>
            <w:tcW w:w="5290" w:type="dxa"/>
            <w:gridSpan w:val="2"/>
          </w:tcPr>
          <w:p w:rsidR="00EB71CC" w:rsidRPr="00541B00" w:rsidRDefault="00EB71CC" w:rsidP="00EB71CC">
            <w:r w:rsidRPr="00541B00">
              <w:rPr>
                <w:rFonts w:asciiTheme="majorHAnsi" w:hAnsiTheme="majorHAnsi"/>
              </w:rPr>
              <w:t>Odluka o internim  procedurama preuzimanja i dostave gotovine u blagajnu Institucije   Ombudsmana za zaštitu potrošača u BiH</w:t>
            </w:r>
          </w:p>
        </w:tc>
        <w:tc>
          <w:tcPr>
            <w:tcW w:w="2268" w:type="dxa"/>
            <w:gridSpan w:val="2"/>
          </w:tcPr>
          <w:p w:rsidR="00EB71CC" w:rsidRDefault="00EB71CC" w:rsidP="00EB71CC">
            <w:r w:rsidRPr="009840E0">
              <w:rPr>
                <w:rFonts w:asciiTheme="majorHAnsi" w:hAnsiTheme="majorHAnsi"/>
              </w:rPr>
              <w:t>0</w:t>
            </w:r>
            <w:r>
              <w:rPr>
                <w:rFonts w:asciiTheme="majorHAnsi" w:hAnsiTheme="majorHAnsi"/>
              </w:rPr>
              <w:t>1-1-12-177/08</w:t>
            </w:r>
          </w:p>
        </w:tc>
        <w:tc>
          <w:tcPr>
            <w:tcW w:w="1559" w:type="dxa"/>
            <w:gridSpan w:val="2"/>
          </w:tcPr>
          <w:p w:rsidR="00EB71CC" w:rsidRDefault="00EB71CC" w:rsidP="00EB71CC">
            <w:r>
              <w:t>14.05.2009.</w:t>
            </w:r>
          </w:p>
        </w:tc>
      </w:tr>
      <w:tr w:rsidR="00EB71CC" w:rsidTr="00524E4D">
        <w:trPr>
          <w:gridAfter w:val="1"/>
          <w:wAfter w:w="113" w:type="dxa"/>
        </w:trPr>
        <w:tc>
          <w:tcPr>
            <w:tcW w:w="517" w:type="dxa"/>
            <w:gridSpan w:val="2"/>
          </w:tcPr>
          <w:p w:rsidR="00EB71CC" w:rsidRDefault="00EB71CC" w:rsidP="00EB71CC">
            <w:r>
              <w:t>2.</w:t>
            </w:r>
          </w:p>
        </w:tc>
        <w:tc>
          <w:tcPr>
            <w:tcW w:w="5290" w:type="dxa"/>
            <w:gridSpan w:val="2"/>
          </w:tcPr>
          <w:p w:rsidR="00EB71CC" w:rsidRPr="00541B00" w:rsidRDefault="00EB71CC" w:rsidP="00EB71CC">
            <w:r w:rsidRPr="00541B00">
              <w:rPr>
                <w:rFonts w:asciiTheme="majorHAnsi" w:hAnsiTheme="majorHAnsi"/>
              </w:rPr>
              <w:t>Odluka o visini blagajničkog maksimuma</w:t>
            </w:r>
          </w:p>
        </w:tc>
        <w:tc>
          <w:tcPr>
            <w:tcW w:w="2268" w:type="dxa"/>
            <w:gridSpan w:val="2"/>
          </w:tcPr>
          <w:p w:rsidR="00EB71CC" w:rsidRPr="009840E0" w:rsidRDefault="00EB71CC" w:rsidP="00EB71CC">
            <w:pPr>
              <w:rPr>
                <w:rFonts w:asciiTheme="majorHAnsi" w:hAnsiTheme="majorHAnsi"/>
              </w:rPr>
            </w:pPr>
            <w:r w:rsidRPr="009840E0">
              <w:rPr>
                <w:rFonts w:asciiTheme="majorHAnsi" w:hAnsiTheme="majorHAnsi"/>
              </w:rPr>
              <w:t>0</w:t>
            </w:r>
            <w:r>
              <w:rPr>
                <w:rFonts w:asciiTheme="majorHAnsi" w:hAnsiTheme="majorHAnsi"/>
              </w:rPr>
              <w:t>1-1-12-202/09</w:t>
            </w:r>
          </w:p>
          <w:p w:rsidR="00EB71CC" w:rsidRDefault="00EB71CC" w:rsidP="00EB71CC"/>
        </w:tc>
        <w:tc>
          <w:tcPr>
            <w:tcW w:w="1559" w:type="dxa"/>
            <w:gridSpan w:val="2"/>
          </w:tcPr>
          <w:p w:rsidR="00EB71CC" w:rsidRDefault="00EB71CC" w:rsidP="00EB71CC">
            <w:r>
              <w:t>15.05.2009.</w:t>
            </w:r>
          </w:p>
        </w:tc>
      </w:tr>
      <w:tr w:rsidR="00524E4D" w:rsidTr="0012713F">
        <w:trPr>
          <w:gridAfter w:val="1"/>
          <w:wAfter w:w="113" w:type="dxa"/>
          <w:trHeight w:val="72"/>
        </w:trPr>
        <w:tc>
          <w:tcPr>
            <w:tcW w:w="517" w:type="dxa"/>
            <w:gridSpan w:val="2"/>
          </w:tcPr>
          <w:p w:rsidR="00524E4D" w:rsidRDefault="00524E4D" w:rsidP="00EB71CC"/>
        </w:tc>
        <w:tc>
          <w:tcPr>
            <w:tcW w:w="5290" w:type="dxa"/>
            <w:gridSpan w:val="2"/>
          </w:tcPr>
          <w:p w:rsidR="00524E4D" w:rsidRPr="00541B00" w:rsidRDefault="00524E4D" w:rsidP="00EB71CC">
            <w:pPr>
              <w:rPr>
                <w:rFonts w:asciiTheme="majorHAnsi" w:hAnsiTheme="majorHAnsi"/>
              </w:rPr>
            </w:pPr>
          </w:p>
        </w:tc>
        <w:tc>
          <w:tcPr>
            <w:tcW w:w="2268" w:type="dxa"/>
            <w:gridSpan w:val="2"/>
          </w:tcPr>
          <w:p w:rsidR="00524E4D" w:rsidRPr="009840E0" w:rsidRDefault="00524E4D" w:rsidP="00EB71CC">
            <w:pPr>
              <w:rPr>
                <w:rFonts w:asciiTheme="majorHAnsi" w:hAnsiTheme="majorHAnsi"/>
              </w:rPr>
            </w:pPr>
          </w:p>
        </w:tc>
        <w:tc>
          <w:tcPr>
            <w:tcW w:w="1559" w:type="dxa"/>
            <w:gridSpan w:val="2"/>
          </w:tcPr>
          <w:p w:rsidR="00524E4D" w:rsidRDefault="00524E4D" w:rsidP="00EB71CC"/>
        </w:tc>
      </w:tr>
      <w:tr w:rsidR="0012713F" w:rsidTr="0012713F">
        <w:trPr>
          <w:gridAfter w:val="1"/>
          <w:wAfter w:w="113" w:type="dxa"/>
          <w:trHeight w:val="218"/>
        </w:trPr>
        <w:tc>
          <w:tcPr>
            <w:tcW w:w="517" w:type="dxa"/>
            <w:gridSpan w:val="2"/>
          </w:tcPr>
          <w:p w:rsidR="0012713F" w:rsidRDefault="0012713F" w:rsidP="00EB71CC"/>
          <w:p w:rsidR="0012713F" w:rsidRDefault="0012713F" w:rsidP="00EB71CC"/>
        </w:tc>
        <w:tc>
          <w:tcPr>
            <w:tcW w:w="5290" w:type="dxa"/>
            <w:gridSpan w:val="2"/>
          </w:tcPr>
          <w:p w:rsidR="0012713F" w:rsidRPr="00541B00" w:rsidRDefault="0012713F" w:rsidP="00EB71CC">
            <w:pPr>
              <w:rPr>
                <w:rFonts w:asciiTheme="majorHAnsi" w:hAnsiTheme="majorHAnsi"/>
              </w:rPr>
            </w:pPr>
          </w:p>
        </w:tc>
        <w:tc>
          <w:tcPr>
            <w:tcW w:w="2268" w:type="dxa"/>
            <w:gridSpan w:val="2"/>
          </w:tcPr>
          <w:p w:rsidR="0012713F" w:rsidRPr="009840E0" w:rsidRDefault="0012713F" w:rsidP="00EB71CC">
            <w:pPr>
              <w:rPr>
                <w:rFonts w:asciiTheme="majorHAnsi" w:hAnsiTheme="majorHAnsi"/>
              </w:rPr>
            </w:pPr>
          </w:p>
        </w:tc>
        <w:tc>
          <w:tcPr>
            <w:tcW w:w="1559" w:type="dxa"/>
            <w:gridSpan w:val="2"/>
          </w:tcPr>
          <w:p w:rsidR="0012713F" w:rsidRDefault="0012713F" w:rsidP="00EB71CC"/>
        </w:tc>
      </w:tr>
      <w:tr w:rsidR="00524E4D" w:rsidRPr="00A64B08" w:rsidTr="00524E4D">
        <w:trPr>
          <w:gridBefore w:val="1"/>
          <w:wBefore w:w="113" w:type="dxa"/>
        </w:trPr>
        <w:tc>
          <w:tcPr>
            <w:tcW w:w="517" w:type="dxa"/>
            <w:gridSpan w:val="2"/>
            <w:tcBorders>
              <w:right w:val="nil"/>
            </w:tcBorders>
            <w:shd w:val="clear" w:color="auto" w:fill="D9D9D9" w:themeFill="background1" w:themeFillShade="D9"/>
          </w:tcPr>
          <w:p w:rsidR="00524E4D" w:rsidRDefault="00524E4D" w:rsidP="00524E4D">
            <w:pPr>
              <w:jc w:val="center"/>
            </w:pPr>
            <w:r w:rsidRPr="0093461C">
              <w:rPr>
                <w:b/>
              </w:rPr>
              <w:t>V</w:t>
            </w:r>
          </w:p>
        </w:tc>
        <w:tc>
          <w:tcPr>
            <w:tcW w:w="9117" w:type="dxa"/>
            <w:gridSpan w:val="6"/>
            <w:tcBorders>
              <w:left w:val="nil"/>
            </w:tcBorders>
            <w:shd w:val="clear" w:color="auto" w:fill="D9D9D9" w:themeFill="background1" w:themeFillShade="D9"/>
          </w:tcPr>
          <w:p w:rsidR="00524E4D" w:rsidRPr="00A64B08" w:rsidRDefault="00524E4D" w:rsidP="00524E4D">
            <w:pPr>
              <w:jc w:val="center"/>
              <w:rPr>
                <w:b/>
              </w:rPr>
            </w:pPr>
            <w:r>
              <w:rPr>
                <w:b/>
              </w:rPr>
              <w:t>SLUŽBENA PUTOVANJA</w:t>
            </w:r>
          </w:p>
        </w:tc>
      </w:tr>
      <w:tr w:rsidR="00524E4D" w:rsidRPr="00A64B08" w:rsidTr="00524E4D">
        <w:trPr>
          <w:gridBefore w:val="1"/>
          <w:wBefore w:w="113" w:type="dxa"/>
        </w:trPr>
        <w:tc>
          <w:tcPr>
            <w:tcW w:w="517" w:type="dxa"/>
            <w:gridSpan w:val="2"/>
            <w:shd w:val="clear" w:color="auto" w:fill="F2F2F2" w:themeFill="background1" w:themeFillShade="F2"/>
          </w:tcPr>
          <w:p w:rsidR="00524E4D" w:rsidRPr="00A64B08" w:rsidRDefault="00524E4D" w:rsidP="00524E4D">
            <w:pPr>
              <w:jc w:val="center"/>
              <w:rPr>
                <w:b/>
              </w:rPr>
            </w:pPr>
            <w:r w:rsidRPr="00A64B08">
              <w:rPr>
                <w:b/>
              </w:rPr>
              <w:t>Rb</w:t>
            </w:r>
            <w:r>
              <w:rPr>
                <w:b/>
              </w:rPr>
              <w:t>.</w:t>
            </w:r>
          </w:p>
        </w:tc>
        <w:tc>
          <w:tcPr>
            <w:tcW w:w="5290" w:type="dxa"/>
            <w:gridSpan w:val="2"/>
            <w:shd w:val="clear" w:color="auto" w:fill="F2F2F2" w:themeFill="background1" w:themeFillShade="F2"/>
          </w:tcPr>
          <w:p w:rsidR="00524E4D" w:rsidRPr="00A64B08" w:rsidRDefault="00524E4D" w:rsidP="00524E4D">
            <w:pPr>
              <w:jc w:val="center"/>
              <w:rPr>
                <w:b/>
              </w:rPr>
            </w:pPr>
            <w:r w:rsidRPr="00A64B08">
              <w:rPr>
                <w:b/>
              </w:rPr>
              <w:t>Naziv dokumenta</w:t>
            </w:r>
          </w:p>
        </w:tc>
        <w:tc>
          <w:tcPr>
            <w:tcW w:w="2268" w:type="dxa"/>
            <w:gridSpan w:val="2"/>
            <w:shd w:val="clear" w:color="auto" w:fill="F2F2F2" w:themeFill="background1" w:themeFillShade="F2"/>
          </w:tcPr>
          <w:p w:rsidR="00524E4D" w:rsidRPr="00A64B08" w:rsidRDefault="00524E4D" w:rsidP="00524E4D">
            <w:pPr>
              <w:jc w:val="center"/>
              <w:rPr>
                <w:b/>
              </w:rPr>
            </w:pPr>
            <w:r w:rsidRPr="00A64B08">
              <w:rPr>
                <w:b/>
              </w:rPr>
              <w:t>Broj akta</w:t>
            </w:r>
          </w:p>
        </w:tc>
        <w:tc>
          <w:tcPr>
            <w:tcW w:w="1559" w:type="dxa"/>
            <w:gridSpan w:val="2"/>
            <w:shd w:val="clear" w:color="auto" w:fill="F2F2F2" w:themeFill="background1" w:themeFillShade="F2"/>
          </w:tcPr>
          <w:p w:rsidR="00524E4D" w:rsidRPr="00A64B08" w:rsidRDefault="00524E4D" w:rsidP="00524E4D">
            <w:pPr>
              <w:jc w:val="center"/>
              <w:rPr>
                <w:b/>
              </w:rPr>
            </w:pPr>
            <w:r w:rsidRPr="00A64B08">
              <w:rPr>
                <w:b/>
              </w:rPr>
              <w:t>Datum</w:t>
            </w:r>
          </w:p>
        </w:tc>
      </w:tr>
      <w:tr w:rsidR="00524E4D" w:rsidTr="00524E4D">
        <w:trPr>
          <w:gridBefore w:val="1"/>
          <w:wBefore w:w="113" w:type="dxa"/>
        </w:trPr>
        <w:tc>
          <w:tcPr>
            <w:tcW w:w="517" w:type="dxa"/>
            <w:gridSpan w:val="2"/>
          </w:tcPr>
          <w:p w:rsidR="00524E4D" w:rsidRDefault="00524E4D" w:rsidP="00524E4D">
            <w:r>
              <w:t>1.</w:t>
            </w:r>
          </w:p>
        </w:tc>
        <w:tc>
          <w:tcPr>
            <w:tcW w:w="5290" w:type="dxa"/>
            <w:gridSpan w:val="2"/>
          </w:tcPr>
          <w:p w:rsidR="00524E4D" w:rsidRDefault="00524E4D" w:rsidP="00524E4D">
            <w:r>
              <w:t>Odluka o službenim putovanjima u IOZZPuBiH</w:t>
            </w:r>
          </w:p>
        </w:tc>
        <w:tc>
          <w:tcPr>
            <w:tcW w:w="2268" w:type="dxa"/>
            <w:gridSpan w:val="2"/>
          </w:tcPr>
          <w:p w:rsidR="00524E4D" w:rsidRDefault="00524E4D" w:rsidP="00524E4D">
            <w:r>
              <w:t>01-02-2-112/18</w:t>
            </w:r>
          </w:p>
        </w:tc>
        <w:tc>
          <w:tcPr>
            <w:tcW w:w="1559" w:type="dxa"/>
            <w:gridSpan w:val="2"/>
          </w:tcPr>
          <w:p w:rsidR="00524E4D" w:rsidRDefault="00524E4D" w:rsidP="00524E4D">
            <w:r>
              <w:t>31.01.2018.</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sidRPr="0093461C">
              <w:rPr>
                <w:b/>
              </w:rPr>
              <w:t>VI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sidRPr="0093461C">
              <w:rPr>
                <w:b/>
              </w:rPr>
              <w:t>UPOTREB</w:t>
            </w:r>
            <w:r>
              <w:rPr>
                <w:b/>
              </w:rPr>
              <w:t>A TELEFONA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541B00" w:rsidRDefault="00EB71CC" w:rsidP="00EB71CC">
            <w:pPr>
              <w:rPr>
                <w:rFonts w:asciiTheme="majorHAnsi" w:hAnsiTheme="majorHAnsi"/>
                <w:lang w:val="hr-BA"/>
              </w:rPr>
            </w:pPr>
            <w:r w:rsidRPr="009840E0">
              <w:rPr>
                <w:rFonts w:asciiTheme="majorHAnsi" w:hAnsiTheme="majorHAnsi"/>
                <w:lang w:val="hr-BA"/>
              </w:rPr>
              <w:t>Pravilnik o načinu korištenja i upotrebi mobilnih i fiksnih telefona u Instituciji ombudsmana za zaštitu potrošača u BiH</w:t>
            </w:r>
          </w:p>
        </w:tc>
        <w:tc>
          <w:tcPr>
            <w:tcW w:w="2268" w:type="dxa"/>
            <w:vAlign w:val="center"/>
          </w:tcPr>
          <w:p w:rsidR="00EB71CC" w:rsidRPr="009840E0" w:rsidRDefault="00EB71CC" w:rsidP="00EB71CC">
            <w:pPr>
              <w:rPr>
                <w:rFonts w:asciiTheme="majorHAnsi" w:hAnsiTheme="majorHAnsi"/>
                <w:lang w:val="hr-BA"/>
              </w:rPr>
            </w:pPr>
            <w:r w:rsidRPr="009840E0">
              <w:rPr>
                <w:rFonts w:asciiTheme="majorHAnsi" w:hAnsiTheme="majorHAnsi"/>
                <w:lang w:val="hr-BA"/>
              </w:rPr>
              <w:t>01-02-3-521-1/14</w:t>
            </w:r>
          </w:p>
        </w:tc>
        <w:tc>
          <w:tcPr>
            <w:tcW w:w="1559" w:type="dxa"/>
          </w:tcPr>
          <w:p w:rsidR="00EB71CC" w:rsidRDefault="00EB71CC" w:rsidP="00EB71CC">
            <w:r>
              <w:t>02.12.2014.</w:t>
            </w:r>
          </w:p>
        </w:tc>
      </w:tr>
      <w:tr w:rsidR="00EB71CC" w:rsidTr="00EB71CC">
        <w:tc>
          <w:tcPr>
            <w:tcW w:w="517" w:type="dxa"/>
          </w:tcPr>
          <w:p w:rsidR="00EB71CC" w:rsidRDefault="00EB71CC" w:rsidP="00EB71CC">
            <w:r>
              <w:t>2.</w:t>
            </w:r>
          </w:p>
        </w:tc>
        <w:tc>
          <w:tcPr>
            <w:tcW w:w="5290" w:type="dxa"/>
            <w:vAlign w:val="center"/>
          </w:tcPr>
          <w:p w:rsidR="00EB71CC" w:rsidRDefault="00EB71CC" w:rsidP="00EB71CC">
            <w:pPr>
              <w:jc w:val="center"/>
              <w:rPr>
                <w:rFonts w:ascii="Cambria" w:hAnsi="Cambria"/>
                <w:lang w:val="hr-BA"/>
              </w:rPr>
            </w:pPr>
          </w:p>
          <w:p w:rsidR="00EB71CC" w:rsidRDefault="00EB71CC" w:rsidP="00EB71CC">
            <w:pPr>
              <w:rPr>
                <w:rFonts w:ascii="Cambria" w:hAnsi="Cambria"/>
                <w:lang w:val="hr-BA"/>
              </w:rPr>
            </w:pPr>
            <w:r w:rsidRPr="009840E0">
              <w:rPr>
                <w:rFonts w:ascii="Cambria" w:hAnsi="Cambria"/>
                <w:lang w:val="hr-BA"/>
              </w:rPr>
              <w:t xml:space="preserve">Odluka o visini troškova mobilnih i fiksnih telefona </w:t>
            </w:r>
          </w:p>
          <w:p w:rsidR="00EB71CC" w:rsidRPr="00BF1ABF" w:rsidRDefault="00EB71CC" w:rsidP="00EB71CC">
            <w:pPr>
              <w:jc w:val="center"/>
              <w:rPr>
                <w:rFonts w:ascii="Cambria" w:hAnsi="Cambria"/>
                <w:lang w:val="hr-BA"/>
              </w:rPr>
            </w:pPr>
          </w:p>
        </w:tc>
        <w:tc>
          <w:tcPr>
            <w:tcW w:w="2268" w:type="dxa"/>
            <w:vAlign w:val="center"/>
          </w:tcPr>
          <w:p w:rsidR="00EB71CC" w:rsidRPr="009840E0" w:rsidRDefault="00EB71CC" w:rsidP="00EB71CC">
            <w:pPr>
              <w:rPr>
                <w:rFonts w:ascii="Cambria" w:hAnsi="Cambria" w:cs="Tahoma"/>
              </w:rPr>
            </w:pPr>
            <w:r>
              <w:rPr>
                <w:rFonts w:ascii="Cambria" w:hAnsi="Cambria" w:cs="Tahoma"/>
              </w:rPr>
              <w:t>01-02-2-20-2/16</w:t>
            </w:r>
          </w:p>
        </w:tc>
        <w:tc>
          <w:tcPr>
            <w:tcW w:w="1559" w:type="dxa"/>
          </w:tcPr>
          <w:p w:rsidR="00EB71CC" w:rsidRDefault="00EB71CC" w:rsidP="00EB71CC">
            <w:r>
              <w:t>14.01.2016.</w:t>
            </w:r>
          </w:p>
        </w:tc>
      </w:tr>
      <w:tr w:rsidR="00EB71CC" w:rsidTr="00EB71CC">
        <w:tc>
          <w:tcPr>
            <w:tcW w:w="517" w:type="dxa"/>
          </w:tcPr>
          <w:p w:rsidR="00EB71CC" w:rsidRDefault="00EB71CC" w:rsidP="00EB71CC">
            <w:r>
              <w:t>3.</w:t>
            </w:r>
          </w:p>
        </w:tc>
        <w:tc>
          <w:tcPr>
            <w:tcW w:w="5290" w:type="dxa"/>
            <w:vAlign w:val="center"/>
          </w:tcPr>
          <w:p w:rsidR="00EB71CC" w:rsidRDefault="00EB71CC" w:rsidP="00EB71CC">
            <w:pPr>
              <w:jc w:val="center"/>
              <w:rPr>
                <w:rFonts w:ascii="Cambria" w:hAnsi="Cambria"/>
                <w:lang w:val="hr-BA"/>
              </w:rPr>
            </w:pPr>
          </w:p>
          <w:p w:rsidR="00EB71CC" w:rsidRPr="00DC4C82" w:rsidRDefault="00EB71CC" w:rsidP="00EB71CC">
            <w:pPr>
              <w:rPr>
                <w:rFonts w:ascii="Cambria" w:hAnsi="Cambria"/>
                <w:lang w:val="hr-BA"/>
              </w:rPr>
            </w:pPr>
            <w:r w:rsidRPr="009840E0">
              <w:rPr>
                <w:rFonts w:ascii="Cambria" w:hAnsi="Cambria"/>
                <w:lang w:val="hr-BA"/>
              </w:rPr>
              <w:t xml:space="preserve">Odluka o visini troškova mobilnih i fiksnih telefona </w:t>
            </w:r>
          </w:p>
        </w:tc>
        <w:tc>
          <w:tcPr>
            <w:tcW w:w="2268" w:type="dxa"/>
            <w:vAlign w:val="center"/>
          </w:tcPr>
          <w:p w:rsidR="00EB71CC" w:rsidRPr="009840E0" w:rsidRDefault="00EB71CC" w:rsidP="00EB71CC">
            <w:pPr>
              <w:rPr>
                <w:rFonts w:ascii="Cambria" w:hAnsi="Cambria" w:cs="Tahoma"/>
              </w:rPr>
            </w:pPr>
            <w:r>
              <w:rPr>
                <w:rFonts w:ascii="Cambria" w:hAnsi="Cambria" w:cs="Tahoma"/>
              </w:rPr>
              <w:t>01-02-2-35-1/14</w:t>
            </w:r>
          </w:p>
        </w:tc>
        <w:tc>
          <w:tcPr>
            <w:tcW w:w="1559" w:type="dxa"/>
          </w:tcPr>
          <w:p w:rsidR="00EB71CC" w:rsidRDefault="00EB71CC" w:rsidP="00EB71CC">
            <w:r>
              <w:t>19.01.2017.</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Default="00EB71CC" w:rsidP="00EB71CC">
            <w:pPr>
              <w:jc w:val="center"/>
            </w:pPr>
            <w:r w:rsidRPr="0093461C">
              <w:rPr>
                <w:b/>
              </w:rPr>
              <w:t>VII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sidRPr="0093461C">
              <w:rPr>
                <w:b/>
              </w:rPr>
              <w:t>KORIŠTENJE</w:t>
            </w:r>
            <w:r>
              <w:rPr>
                <w:b/>
              </w:rPr>
              <w:t xml:space="preserve"> SLUŽBENIH VOZILA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rPr>
                <w:rFonts w:asciiTheme="majorHAnsi" w:hAnsiTheme="majorHAnsi"/>
                <w:lang w:val="hr-BA"/>
              </w:rPr>
            </w:pPr>
            <w:r w:rsidRPr="009840E0">
              <w:rPr>
                <w:rFonts w:asciiTheme="majorHAnsi" w:hAnsiTheme="majorHAnsi"/>
                <w:lang w:val="hr-BA"/>
              </w:rPr>
              <w:t>Pravilnik o uvjetima nabave i načinu korištenja službenog vozila u Instituciji ombudsmana za zaštitu potrošača u BiH</w:t>
            </w:r>
          </w:p>
        </w:tc>
        <w:tc>
          <w:tcPr>
            <w:tcW w:w="2268" w:type="dxa"/>
            <w:vAlign w:val="center"/>
          </w:tcPr>
          <w:p w:rsidR="00EB71CC" w:rsidRPr="009840E0" w:rsidRDefault="00EB71CC" w:rsidP="00EB71CC">
            <w:pPr>
              <w:rPr>
                <w:rFonts w:asciiTheme="majorHAnsi" w:hAnsiTheme="majorHAnsi"/>
                <w:lang w:val="hr-BA"/>
              </w:rPr>
            </w:pPr>
            <w:r w:rsidRPr="009840E0">
              <w:rPr>
                <w:rFonts w:asciiTheme="majorHAnsi" w:hAnsiTheme="majorHAnsi"/>
                <w:lang w:val="hr-BA"/>
              </w:rPr>
              <w:t>01-02-3-554-1/14</w:t>
            </w:r>
          </w:p>
          <w:p w:rsidR="00EB71CC" w:rsidRPr="009840E0" w:rsidRDefault="00EB71CC" w:rsidP="00EB71CC">
            <w:pPr>
              <w:rPr>
                <w:rFonts w:asciiTheme="majorHAnsi" w:hAnsiTheme="majorHAnsi"/>
                <w:lang w:val="hr-BA"/>
              </w:rPr>
            </w:pPr>
          </w:p>
        </w:tc>
        <w:tc>
          <w:tcPr>
            <w:tcW w:w="1559" w:type="dxa"/>
          </w:tcPr>
          <w:p w:rsidR="00EB71CC" w:rsidRDefault="00EB71CC" w:rsidP="00EB71CC">
            <w:r>
              <w:t>19.12.2014.</w:t>
            </w:r>
          </w:p>
        </w:tc>
      </w:tr>
      <w:tr w:rsidR="00EB71CC" w:rsidTr="00EB71CC">
        <w:tc>
          <w:tcPr>
            <w:tcW w:w="517" w:type="dxa"/>
          </w:tcPr>
          <w:p w:rsidR="00EB71CC" w:rsidRDefault="00EB71CC" w:rsidP="00EB71CC">
            <w:r>
              <w:t>2.</w:t>
            </w:r>
          </w:p>
        </w:tc>
        <w:tc>
          <w:tcPr>
            <w:tcW w:w="5290" w:type="dxa"/>
            <w:vAlign w:val="center"/>
          </w:tcPr>
          <w:p w:rsidR="00EB71CC" w:rsidRDefault="00EB71CC" w:rsidP="00EB71CC">
            <w:pPr>
              <w:pStyle w:val="Pravilnik"/>
              <w:jc w:val="left"/>
              <w:rPr>
                <w:rFonts w:asciiTheme="majorHAnsi" w:hAnsiTheme="majorHAnsi"/>
                <w:b w:val="0"/>
                <w:sz w:val="22"/>
                <w:szCs w:val="22"/>
                <w:lang w:val="hr-HR"/>
              </w:rPr>
            </w:pPr>
            <w:r>
              <w:rPr>
                <w:rFonts w:asciiTheme="majorHAnsi" w:hAnsiTheme="majorHAnsi"/>
                <w:b w:val="0"/>
                <w:sz w:val="22"/>
                <w:szCs w:val="22"/>
                <w:lang w:val="hr-HR"/>
              </w:rPr>
              <w:t>Odluka o načinu korištenja službenog vozila u Instituciji ombudsmana za zaštitu potrošača u BiH</w:t>
            </w:r>
          </w:p>
        </w:tc>
        <w:tc>
          <w:tcPr>
            <w:tcW w:w="2268" w:type="dxa"/>
            <w:vAlign w:val="center"/>
          </w:tcPr>
          <w:p w:rsidR="00EB71CC" w:rsidRDefault="00EB71CC" w:rsidP="00EB71CC">
            <w:pPr>
              <w:rPr>
                <w:rFonts w:ascii="Cambria" w:hAnsi="Cambria" w:cs="Tahoma"/>
              </w:rPr>
            </w:pPr>
            <w:r>
              <w:rPr>
                <w:rFonts w:ascii="Cambria" w:hAnsi="Cambria" w:cs="Tahoma"/>
              </w:rPr>
              <w:t xml:space="preserve">05-02-2-363-1/17 </w:t>
            </w:r>
          </w:p>
        </w:tc>
        <w:tc>
          <w:tcPr>
            <w:tcW w:w="1559" w:type="dxa"/>
          </w:tcPr>
          <w:p w:rsidR="00EB71CC" w:rsidRDefault="00EB71CC" w:rsidP="00EB71CC">
            <w:r>
              <w:t>14.07.2017.</w:t>
            </w:r>
          </w:p>
        </w:tc>
      </w:tr>
    </w:tbl>
    <w:p w:rsidR="00EB71CC" w:rsidRDefault="00EB71CC" w:rsidP="00EB71CC"/>
    <w:tbl>
      <w:tblPr>
        <w:tblStyle w:val="TableGrid"/>
        <w:tblW w:w="9634" w:type="dxa"/>
        <w:tblLook w:val="04A0" w:firstRow="1" w:lastRow="0" w:firstColumn="1" w:lastColumn="0" w:noHBand="0" w:noVBand="1"/>
      </w:tblPr>
      <w:tblGrid>
        <w:gridCol w:w="524"/>
        <w:gridCol w:w="5286"/>
        <w:gridCol w:w="2266"/>
        <w:gridCol w:w="1558"/>
      </w:tblGrid>
      <w:tr w:rsidR="00EB71CC" w:rsidTr="00EB71CC">
        <w:tc>
          <w:tcPr>
            <w:tcW w:w="524" w:type="dxa"/>
            <w:tcBorders>
              <w:right w:val="nil"/>
            </w:tcBorders>
            <w:shd w:val="clear" w:color="auto" w:fill="D9D9D9" w:themeFill="background1" w:themeFillShade="D9"/>
          </w:tcPr>
          <w:p w:rsidR="00EB71CC" w:rsidRDefault="00EB71CC" w:rsidP="00EB71CC">
            <w:pPr>
              <w:jc w:val="center"/>
            </w:pPr>
            <w:r w:rsidRPr="0093461C">
              <w:rPr>
                <w:b/>
              </w:rPr>
              <w:t>VIII</w:t>
            </w:r>
          </w:p>
        </w:tc>
        <w:tc>
          <w:tcPr>
            <w:tcW w:w="9110" w:type="dxa"/>
            <w:gridSpan w:val="3"/>
            <w:tcBorders>
              <w:left w:val="nil"/>
            </w:tcBorders>
            <w:shd w:val="clear" w:color="auto" w:fill="D9D9D9" w:themeFill="background1" w:themeFillShade="D9"/>
          </w:tcPr>
          <w:p w:rsidR="00EB71CC" w:rsidRPr="00A64B08" w:rsidRDefault="00EB71CC" w:rsidP="00EB71CC">
            <w:pPr>
              <w:jc w:val="center"/>
              <w:rPr>
                <w:b/>
              </w:rPr>
            </w:pPr>
            <w:r w:rsidRPr="0093461C">
              <w:rPr>
                <w:b/>
              </w:rPr>
              <w:t>UPOTREB</w:t>
            </w:r>
            <w:r>
              <w:rPr>
                <w:b/>
              </w:rPr>
              <w:t>A SREDSTAVA REPREZENTACIJE</w:t>
            </w:r>
          </w:p>
        </w:tc>
      </w:tr>
      <w:tr w:rsidR="00EB71CC" w:rsidTr="00EB71CC">
        <w:tc>
          <w:tcPr>
            <w:tcW w:w="524"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86"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6"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8"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24" w:type="dxa"/>
          </w:tcPr>
          <w:p w:rsidR="00EB71CC" w:rsidRDefault="00EB71CC" w:rsidP="00EB71CC">
            <w:r>
              <w:t>1.</w:t>
            </w:r>
          </w:p>
        </w:tc>
        <w:tc>
          <w:tcPr>
            <w:tcW w:w="5286" w:type="dxa"/>
            <w:vAlign w:val="center"/>
          </w:tcPr>
          <w:p w:rsidR="00EB71CC" w:rsidRPr="009840E0" w:rsidRDefault="00EB71CC" w:rsidP="00EB71CC">
            <w:pPr>
              <w:rPr>
                <w:rFonts w:asciiTheme="majorHAnsi" w:hAnsiTheme="majorHAnsi"/>
              </w:rPr>
            </w:pPr>
            <w:r w:rsidRPr="009840E0">
              <w:rPr>
                <w:rFonts w:asciiTheme="majorHAnsi" w:hAnsiTheme="majorHAnsi"/>
              </w:rPr>
              <w:t>Odluka o reprezentaciji i poklonima</w:t>
            </w:r>
          </w:p>
        </w:tc>
        <w:tc>
          <w:tcPr>
            <w:tcW w:w="2266" w:type="dxa"/>
            <w:vAlign w:val="center"/>
          </w:tcPr>
          <w:p w:rsidR="00EB71CC" w:rsidRPr="009840E0" w:rsidRDefault="00EB71CC" w:rsidP="00EB71CC">
            <w:pPr>
              <w:rPr>
                <w:rFonts w:asciiTheme="majorHAnsi" w:hAnsiTheme="majorHAnsi"/>
              </w:rPr>
            </w:pPr>
            <w:r w:rsidRPr="009840E0">
              <w:rPr>
                <w:rFonts w:asciiTheme="majorHAnsi" w:hAnsiTheme="majorHAnsi"/>
              </w:rPr>
              <w:t>01-02-3-510-1/14</w:t>
            </w:r>
          </w:p>
        </w:tc>
        <w:tc>
          <w:tcPr>
            <w:tcW w:w="1558" w:type="dxa"/>
          </w:tcPr>
          <w:p w:rsidR="00EB71CC" w:rsidRDefault="00EB71CC" w:rsidP="00EB71CC">
            <w:r>
              <w:t>28.11.2014.</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Pr="00C37A52" w:rsidRDefault="0012713F" w:rsidP="00EB71CC">
            <w:pPr>
              <w:jc w:val="center"/>
              <w:rPr>
                <w:b/>
              </w:rPr>
            </w:pPr>
            <w:r>
              <w:rPr>
                <w:b/>
              </w:rPr>
              <w:t>I</w:t>
            </w:r>
            <w:r w:rsidR="00EB71CC" w:rsidRPr="00C37A52">
              <w:rPr>
                <w:b/>
              </w:rPr>
              <w:t>X</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POPIS IMOVINE I OBAVEZA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rPr>
                <w:rFonts w:asciiTheme="majorHAnsi" w:hAnsiTheme="majorHAnsi"/>
              </w:rPr>
            </w:pPr>
            <w:r w:rsidRPr="009840E0">
              <w:rPr>
                <w:rFonts w:asciiTheme="majorHAnsi" w:hAnsiTheme="majorHAnsi"/>
              </w:rPr>
              <w:t>Pravilnik o popisu imovine i obaveza Institucije Ombudsmana za zaštitu potrošača u BiH</w:t>
            </w:r>
          </w:p>
        </w:tc>
        <w:tc>
          <w:tcPr>
            <w:tcW w:w="2268" w:type="dxa"/>
            <w:vAlign w:val="center"/>
          </w:tcPr>
          <w:p w:rsidR="00EB71CC" w:rsidRPr="009840E0" w:rsidRDefault="00EB71CC" w:rsidP="00EB71CC">
            <w:pPr>
              <w:rPr>
                <w:rFonts w:asciiTheme="majorHAnsi" w:hAnsiTheme="majorHAnsi"/>
              </w:rPr>
            </w:pPr>
            <w:r w:rsidRPr="009840E0">
              <w:rPr>
                <w:rFonts w:asciiTheme="majorHAnsi" w:hAnsiTheme="majorHAnsi"/>
              </w:rPr>
              <w:t>01</w:t>
            </w:r>
            <w:r>
              <w:rPr>
                <w:rFonts w:asciiTheme="majorHAnsi" w:hAnsiTheme="majorHAnsi"/>
              </w:rPr>
              <w:t xml:space="preserve">-1-50-147-1/07 </w:t>
            </w:r>
          </w:p>
          <w:p w:rsidR="00EB71CC" w:rsidRPr="009840E0" w:rsidRDefault="00EB71CC" w:rsidP="00EB71CC">
            <w:pPr>
              <w:rPr>
                <w:rFonts w:asciiTheme="majorHAnsi" w:hAnsiTheme="majorHAnsi"/>
              </w:rPr>
            </w:pPr>
          </w:p>
        </w:tc>
        <w:tc>
          <w:tcPr>
            <w:tcW w:w="1559" w:type="dxa"/>
          </w:tcPr>
          <w:p w:rsidR="00EB71CC" w:rsidRDefault="00EB71CC" w:rsidP="00EB71CC">
            <w:r>
              <w:t>27.12.2007.</w:t>
            </w:r>
          </w:p>
        </w:tc>
      </w:tr>
      <w:tr w:rsidR="00EB71CC" w:rsidTr="00EB71CC">
        <w:tc>
          <w:tcPr>
            <w:tcW w:w="517" w:type="dxa"/>
          </w:tcPr>
          <w:p w:rsidR="00EB71CC" w:rsidRDefault="00EB71CC" w:rsidP="00EB71CC">
            <w:r>
              <w:t>2.</w:t>
            </w:r>
          </w:p>
        </w:tc>
        <w:tc>
          <w:tcPr>
            <w:tcW w:w="5290" w:type="dxa"/>
            <w:vAlign w:val="center"/>
          </w:tcPr>
          <w:p w:rsidR="00EB71CC" w:rsidRPr="009840E0" w:rsidRDefault="00EB71CC" w:rsidP="00EB71CC">
            <w:pPr>
              <w:rPr>
                <w:rFonts w:asciiTheme="majorHAnsi" w:hAnsiTheme="majorHAnsi"/>
              </w:rPr>
            </w:pPr>
            <w:r w:rsidRPr="009840E0">
              <w:rPr>
                <w:rFonts w:asciiTheme="majorHAnsi" w:hAnsiTheme="majorHAnsi"/>
              </w:rPr>
              <w:t>Pravilnik o izmjeni Pravilnika o popisu imovine i obaveza Institucije Ombudsmana za zaštitu potrošača u BiH</w:t>
            </w:r>
          </w:p>
        </w:tc>
        <w:tc>
          <w:tcPr>
            <w:tcW w:w="2268" w:type="dxa"/>
            <w:vAlign w:val="center"/>
          </w:tcPr>
          <w:p w:rsidR="00EB71CC" w:rsidRPr="009840E0" w:rsidRDefault="00EB71CC" w:rsidP="00EB71CC">
            <w:pPr>
              <w:rPr>
                <w:rFonts w:asciiTheme="majorHAnsi" w:hAnsiTheme="majorHAnsi"/>
              </w:rPr>
            </w:pPr>
            <w:r w:rsidRPr="009840E0">
              <w:rPr>
                <w:rFonts w:asciiTheme="majorHAnsi" w:hAnsiTheme="majorHAnsi"/>
              </w:rPr>
              <w:t>01-1-50-147-2/09</w:t>
            </w:r>
          </w:p>
        </w:tc>
        <w:tc>
          <w:tcPr>
            <w:tcW w:w="1559" w:type="dxa"/>
          </w:tcPr>
          <w:p w:rsidR="00EB71CC" w:rsidRDefault="00EB71CC" w:rsidP="00EB71CC">
            <w:r>
              <w:t>19.06.2009.</w:t>
            </w:r>
          </w:p>
        </w:tc>
      </w:tr>
      <w:tr w:rsidR="00EB71CC" w:rsidTr="00EB71CC">
        <w:tc>
          <w:tcPr>
            <w:tcW w:w="517" w:type="dxa"/>
          </w:tcPr>
          <w:p w:rsidR="00EB71CC" w:rsidRDefault="00EB71CC" w:rsidP="00EB71CC">
            <w:r>
              <w:t>3.</w:t>
            </w:r>
          </w:p>
        </w:tc>
        <w:tc>
          <w:tcPr>
            <w:tcW w:w="5290" w:type="dxa"/>
            <w:vAlign w:val="center"/>
          </w:tcPr>
          <w:p w:rsidR="00EB71CC" w:rsidRPr="009840E0" w:rsidRDefault="00EB71CC" w:rsidP="0012713F">
            <w:pPr>
              <w:rPr>
                <w:rFonts w:asciiTheme="majorHAnsi" w:hAnsiTheme="majorHAnsi"/>
              </w:rPr>
            </w:pPr>
            <w:r w:rsidRPr="009840E0">
              <w:rPr>
                <w:rFonts w:asciiTheme="majorHAnsi" w:hAnsiTheme="majorHAnsi"/>
              </w:rPr>
              <w:t>Upustvo za rad popisnih komisija i obavljanja priprema za popis</w:t>
            </w:r>
          </w:p>
        </w:tc>
        <w:tc>
          <w:tcPr>
            <w:tcW w:w="2268" w:type="dxa"/>
            <w:vAlign w:val="center"/>
          </w:tcPr>
          <w:p w:rsidR="00EB71CC" w:rsidRPr="009840E0" w:rsidRDefault="00EB71CC" w:rsidP="00EB71CC">
            <w:pPr>
              <w:rPr>
                <w:rFonts w:asciiTheme="majorHAnsi" w:hAnsiTheme="majorHAnsi"/>
              </w:rPr>
            </w:pPr>
            <w:r>
              <w:rPr>
                <w:rFonts w:asciiTheme="majorHAnsi" w:hAnsiTheme="majorHAnsi"/>
              </w:rPr>
              <w:t>01-1-50-147/07</w:t>
            </w:r>
          </w:p>
        </w:tc>
        <w:tc>
          <w:tcPr>
            <w:tcW w:w="1559" w:type="dxa"/>
          </w:tcPr>
          <w:p w:rsidR="00EB71CC" w:rsidRDefault="00EB71CC" w:rsidP="00EB71CC">
            <w:r>
              <w:t>27.12.2007.</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Pr="00C37A52" w:rsidRDefault="0012713F" w:rsidP="00EB71CC">
            <w:pPr>
              <w:jc w:val="center"/>
              <w:rPr>
                <w:b/>
              </w:rPr>
            </w:pPr>
            <w:r>
              <w:rPr>
                <w:b/>
              </w:rPr>
              <w:t>X</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JAVNE NABAVKE</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lastRenderedPageBreak/>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rPr>
                <w:rFonts w:ascii="Cambria" w:hAnsi="Cambria"/>
                <w:lang w:val="hr-BA"/>
              </w:rPr>
            </w:pPr>
            <w:r w:rsidRPr="009840E0">
              <w:rPr>
                <w:rFonts w:ascii="Cambria" w:hAnsi="Cambria"/>
                <w:lang w:val="hr-BA"/>
              </w:rPr>
              <w:t>Pravilnik o postupku izravnog sporazuma</w:t>
            </w:r>
          </w:p>
        </w:tc>
        <w:tc>
          <w:tcPr>
            <w:tcW w:w="2268" w:type="dxa"/>
            <w:vAlign w:val="center"/>
          </w:tcPr>
          <w:p w:rsidR="00EB71CC" w:rsidRPr="009840E0" w:rsidRDefault="00EB71CC" w:rsidP="00EB71CC">
            <w:pPr>
              <w:rPr>
                <w:rFonts w:ascii="Cambria" w:hAnsi="Cambria" w:cs="Tahoma"/>
              </w:rPr>
            </w:pPr>
            <w:r w:rsidRPr="009840E0">
              <w:rPr>
                <w:rFonts w:ascii="Cambria" w:hAnsi="Cambria" w:cs="Tahoma"/>
              </w:rPr>
              <w:t>01-02-3-85-1/15</w:t>
            </w:r>
          </w:p>
          <w:p w:rsidR="00EB71CC" w:rsidRPr="009840E0" w:rsidRDefault="00EB71CC" w:rsidP="00EB71CC">
            <w:pPr>
              <w:jc w:val="center"/>
              <w:rPr>
                <w:rFonts w:ascii="Cambria" w:hAnsi="Cambria"/>
                <w:lang w:val="hr-BA"/>
              </w:rPr>
            </w:pPr>
          </w:p>
        </w:tc>
        <w:tc>
          <w:tcPr>
            <w:tcW w:w="1559" w:type="dxa"/>
          </w:tcPr>
          <w:p w:rsidR="00EB71CC" w:rsidRDefault="00EB71CC" w:rsidP="00EB71CC">
            <w:r>
              <w:t>25.02.2015.</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Pr="00C37A52" w:rsidRDefault="0012713F" w:rsidP="00EB71CC">
            <w:pPr>
              <w:jc w:val="center"/>
              <w:rPr>
                <w:b/>
              </w:rPr>
            </w:pPr>
            <w:r>
              <w:rPr>
                <w:b/>
              </w:rPr>
              <w:t>XI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INTERNA REVIZIJA</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Pravilnik o sustavu unutarnjih kontrola</w:t>
            </w:r>
          </w:p>
        </w:tc>
        <w:tc>
          <w:tcPr>
            <w:tcW w:w="2268" w:type="dxa"/>
            <w:vAlign w:val="center"/>
          </w:tcPr>
          <w:p w:rsidR="00EB71CC" w:rsidRPr="009840E0" w:rsidRDefault="00EB71CC" w:rsidP="00EB71CC">
            <w:pPr>
              <w:rPr>
                <w:rFonts w:ascii="Cambria" w:hAnsi="Cambria" w:cs="Tahoma"/>
              </w:rPr>
            </w:pPr>
            <w:r>
              <w:rPr>
                <w:rFonts w:ascii="Cambria" w:hAnsi="Cambria" w:cs="Tahoma"/>
              </w:rPr>
              <w:t xml:space="preserve">01-02-4-495-1/16 </w:t>
            </w:r>
          </w:p>
        </w:tc>
        <w:tc>
          <w:tcPr>
            <w:tcW w:w="1559" w:type="dxa"/>
          </w:tcPr>
          <w:p w:rsidR="00EB71CC" w:rsidRDefault="00EB71CC" w:rsidP="00EB71CC">
            <w:r>
              <w:t>21.10.2016.</w:t>
            </w:r>
          </w:p>
        </w:tc>
      </w:tr>
    </w:tbl>
    <w:p w:rsidR="00EB71CC" w:rsidRDefault="00EB71CC" w:rsidP="00EB71CC"/>
    <w:tbl>
      <w:tblPr>
        <w:tblStyle w:val="TableGrid"/>
        <w:tblW w:w="9634" w:type="dxa"/>
        <w:tblLook w:val="04A0" w:firstRow="1" w:lastRow="0" w:firstColumn="1" w:lastColumn="0" w:noHBand="0" w:noVBand="1"/>
      </w:tblPr>
      <w:tblGrid>
        <w:gridCol w:w="526"/>
        <w:gridCol w:w="5284"/>
        <w:gridCol w:w="2266"/>
        <w:gridCol w:w="1558"/>
      </w:tblGrid>
      <w:tr w:rsidR="00EB71CC" w:rsidTr="00EB71CC">
        <w:tc>
          <w:tcPr>
            <w:tcW w:w="526" w:type="dxa"/>
            <w:tcBorders>
              <w:right w:val="nil"/>
            </w:tcBorders>
            <w:shd w:val="clear" w:color="auto" w:fill="D9D9D9" w:themeFill="background1" w:themeFillShade="D9"/>
          </w:tcPr>
          <w:p w:rsidR="00EB71CC" w:rsidRPr="00C37A52" w:rsidRDefault="0012713F" w:rsidP="00EB71CC">
            <w:pPr>
              <w:jc w:val="center"/>
              <w:rPr>
                <w:b/>
              </w:rPr>
            </w:pPr>
            <w:r>
              <w:rPr>
                <w:b/>
              </w:rPr>
              <w:t>XII</w:t>
            </w:r>
          </w:p>
        </w:tc>
        <w:tc>
          <w:tcPr>
            <w:tcW w:w="9108" w:type="dxa"/>
            <w:gridSpan w:val="3"/>
            <w:tcBorders>
              <w:left w:val="nil"/>
            </w:tcBorders>
            <w:shd w:val="clear" w:color="auto" w:fill="D9D9D9" w:themeFill="background1" w:themeFillShade="D9"/>
          </w:tcPr>
          <w:p w:rsidR="00EB71CC" w:rsidRPr="00A64B08" w:rsidRDefault="00EB71CC" w:rsidP="00EB71CC">
            <w:pPr>
              <w:jc w:val="center"/>
              <w:rPr>
                <w:b/>
              </w:rPr>
            </w:pPr>
            <w:r>
              <w:rPr>
                <w:b/>
              </w:rPr>
              <w:t>STRATEŠKO PLANIRANJE</w:t>
            </w:r>
          </w:p>
        </w:tc>
      </w:tr>
      <w:tr w:rsidR="00EB71CC" w:rsidTr="00EB71CC">
        <w:tc>
          <w:tcPr>
            <w:tcW w:w="526"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84"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6"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8"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26" w:type="dxa"/>
          </w:tcPr>
          <w:p w:rsidR="00EB71CC" w:rsidRDefault="00EB71CC" w:rsidP="00EB71CC">
            <w:r>
              <w:t>1.</w:t>
            </w:r>
          </w:p>
        </w:tc>
        <w:tc>
          <w:tcPr>
            <w:tcW w:w="5284" w:type="dxa"/>
            <w:vAlign w:val="center"/>
          </w:tcPr>
          <w:p w:rsidR="00EB71CC" w:rsidRPr="005422C0" w:rsidRDefault="00EB71CC" w:rsidP="00EB71CC">
            <w:pPr>
              <w:rPr>
                <w:rFonts w:asciiTheme="majorHAnsi" w:hAnsiTheme="majorHAnsi"/>
              </w:rPr>
            </w:pPr>
            <w:r w:rsidRPr="005422C0">
              <w:rPr>
                <w:rFonts w:asciiTheme="majorHAnsi" w:hAnsiTheme="majorHAnsi"/>
              </w:rPr>
              <w:t>Strategija  razvoja Institucije ombudsmana za zaštitu potrošača u BiH (2013.-2017. godine)</w:t>
            </w:r>
          </w:p>
        </w:tc>
        <w:tc>
          <w:tcPr>
            <w:tcW w:w="2266" w:type="dxa"/>
            <w:vAlign w:val="center"/>
          </w:tcPr>
          <w:p w:rsidR="00EB71CC" w:rsidRPr="005422C0" w:rsidRDefault="00EB71CC" w:rsidP="00EB71CC">
            <w:pPr>
              <w:rPr>
                <w:rFonts w:asciiTheme="majorHAnsi" w:hAnsiTheme="majorHAnsi"/>
              </w:rPr>
            </w:pPr>
            <w:r w:rsidRPr="005422C0">
              <w:rPr>
                <w:rFonts w:asciiTheme="majorHAnsi" w:hAnsiTheme="majorHAnsi"/>
              </w:rPr>
              <w:t>0</w:t>
            </w:r>
            <w:r>
              <w:rPr>
                <w:rFonts w:asciiTheme="majorHAnsi" w:hAnsiTheme="majorHAnsi"/>
              </w:rPr>
              <w:t xml:space="preserve">1-1-26-1-416/13 </w:t>
            </w:r>
          </w:p>
        </w:tc>
        <w:tc>
          <w:tcPr>
            <w:tcW w:w="1558" w:type="dxa"/>
          </w:tcPr>
          <w:p w:rsidR="00EB71CC" w:rsidRDefault="00EB71CC" w:rsidP="00EB71CC">
            <w:r>
              <w:t>19.11.2013.</w:t>
            </w:r>
          </w:p>
        </w:tc>
      </w:tr>
      <w:tr w:rsidR="00EB71CC" w:rsidTr="00EB71CC">
        <w:tc>
          <w:tcPr>
            <w:tcW w:w="526" w:type="dxa"/>
          </w:tcPr>
          <w:p w:rsidR="00EB71CC" w:rsidRDefault="00EB71CC" w:rsidP="00EB71CC">
            <w:r>
              <w:t>2.</w:t>
            </w:r>
          </w:p>
        </w:tc>
        <w:tc>
          <w:tcPr>
            <w:tcW w:w="5284" w:type="dxa"/>
            <w:vAlign w:val="center"/>
          </w:tcPr>
          <w:p w:rsidR="00EB71CC" w:rsidRPr="009840E0" w:rsidRDefault="00EB71CC" w:rsidP="00EB71CC">
            <w:pPr>
              <w:rPr>
                <w:rFonts w:ascii="Cambria" w:hAnsi="Cambria"/>
                <w:lang w:val="hr-BA"/>
              </w:rPr>
            </w:pPr>
            <w:r w:rsidRPr="009840E0">
              <w:rPr>
                <w:rFonts w:ascii="Cambria" w:hAnsi="Cambria"/>
                <w:lang w:val="hr-BA"/>
              </w:rPr>
              <w:t>Srednjoročni plan Institucije ombudsmana za zaštitu potrošača 2016-2018</w:t>
            </w:r>
          </w:p>
          <w:p w:rsidR="00EB71CC" w:rsidRPr="009840E0" w:rsidRDefault="00EB71CC" w:rsidP="00EB71CC">
            <w:pPr>
              <w:jc w:val="center"/>
              <w:rPr>
                <w:rFonts w:ascii="Cambria" w:hAnsi="Cambria"/>
                <w:lang w:val="hr-BA"/>
              </w:rPr>
            </w:pPr>
          </w:p>
        </w:tc>
        <w:tc>
          <w:tcPr>
            <w:tcW w:w="2266" w:type="dxa"/>
            <w:vAlign w:val="center"/>
          </w:tcPr>
          <w:p w:rsidR="00EB71CC" w:rsidRPr="009840E0" w:rsidRDefault="00EB71CC" w:rsidP="00EB71CC">
            <w:pPr>
              <w:rPr>
                <w:rFonts w:ascii="Cambria" w:hAnsi="Cambria" w:cs="Tahoma"/>
              </w:rPr>
            </w:pPr>
            <w:r w:rsidRPr="009840E0">
              <w:rPr>
                <w:rFonts w:ascii="Cambria" w:hAnsi="Cambria" w:cs="Tahoma"/>
              </w:rPr>
              <w:t>01-0</w:t>
            </w:r>
            <w:r>
              <w:rPr>
                <w:rFonts w:ascii="Cambria" w:hAnsi="Cambria" w:cs="Tahoma"/>
              </w:rPr>
              <w:t>2-4-421 -3 / 15</w:t>
            </w:r>
          </w:p>
        </w:tc>
        <w:tc>
          <w:tcPr>
            <w:tcW w:w="1558" w:type="dxa"/>
          </w:tcPr>
          <w:p w:rsidR="00EB71CC" w:rsidRDefault="00EB71CC" w:rsidP="00EB71CC">
            <w:r>
              <w:t>28.10.2015.</w:t>
            </w:r>
          </w:p>
        </w:tc>
      </w:tr>
      <w:tr w:rsidR="00EB71CC" w:rsidTr="00EB71CC">
        <w:tc>
          <w:tcPr>
            <w:tcW w:w="526" w:type="dxa"/>
          </w:tcPr>
          <w:p w:rsidR="00EB71CC" w:rsidRDefault="00EB71CC" w:rsidP="00EB71CC">
            <w:r>
              <w:t>3.</w:t>
            </w:r>
          </w:p>
        </w:tc>
        <w:tc>
          <w:tcPr>
            <w:tcW w:w="5284" w:type="dxa"/>
            <w:vAlign w:val="center"/>
          </w:tcPr>
          <w:p w:rsidR="00EB71CC" w:rsidRPr="009840E0" w:rsidRDefault="00EB71CC" w:rsidP="00EB71CC">
            <w:pPr>
              <w:jc w:val="center"/>
              <w:rPr>
                <w:rFonts w:ascii="Cambria" w:hAnsi="Cambria"/>
                <w:lang w:val="hr-BA"/>
              </w:rPr>
            </w:pPr>
          </w:p>
          <w:p w:rsidR="00EB71CC" w:rsidRPr="009840E0" w:rsidRDefault="00EB71CC" w:rsidP="00EC6187">
            <w:pPr>
              <w:rPr>
                <w:rFonts w:ascii="Cambria" w:hAnsi="Cambria"/>
                <w:lang w:val="hr-BA"/>
              </w:rPr>
            </w:pPr>
            <w:r w:rsidRPr="009840E0">
              <w:rPr>
                <w:rFonts w:ascii="Cambria" w:hAnsi="Cambria"/>
                <w:lang w:val="hr-BA"/>
              </w:rPr>
              <w:t>Plan integriteta Institucije ombudsmana</w:t>
            </w:r>
            <w:r>
              <w:rPr>
                <w:rFonts w:ascii="Cambria" w:hAnsi="Cambria"/>
                <w:lang w:val="hr-BA"/>
              </w:rPr>
              <w:t xml:space="preserve"> za zaštitu potrošača u BiH 2016.</w:t>
            </w:r>
            <w:r w:rsidRPr="009840E0">
              <w:rPr>
                <w:rFonts w:ascii="Cambria" w:hAnsi="Cambria"/>
                <w:lang w:val="hr-BA"/>
              </w:rPr>
              <w:t>-2019</w:t>
            </w:r>
            <w:r>
              <w:rPr>
                <w:rFonts w:ascii="Cambria" w:hAnsi="Cambria"/>
                <w:lang w:val="hr-BA"/>
              </w:rPr>
              <w:t>.</w:t>
            </w:r>
          </w:p>
        </w:tc>
        <w:tc>
          <w:tcPr>
            <w:tcW w:w="2266" w:type="dxa"/>
            <w:vAlign w:val="center"/>
          </w:tcPr>
          <w:p w:rsidR="00EB71CC" w:rsidRPr="009840E0" w:rsidRDefault="00EB71CC" w:rsidP="00EB71CC">
            <w:pPr>
              <w:rPr>
                <w:rFonts w:ascii="Cambria" w:hAnsi="Cambria" w:cs="Tahoma"/>
              </w:rPr>
            </w:pPr>
            <w:r w:rsidRPr="009840E0">
              <w:rPr>
                <w:rFonts w:ascii="Cambria" w:hAnsi="Cambria" w:cs="Tahoma"/>
              </w:rPr>
              <w:t xml:space="preserve">05-02-3-404-8/14 </w:t>
            </w:r>
          </w:p>
        </w:tc>
        <w:tc>
          <w:tcPr>
            <w:tcW w:w="1558" w:type="dxa"/>
          </w:tcPr>
          <w:p w:rsidR="00EB71CC" w:rsidRDefault="00EB71CC" w:rsidP="00EB71CC">
            <w:r>
              <w:t>20.05.2015.</w:t>
            </w:r>
          </w:p>
        </w:tc>
      </w:tr>
      <w:tr w:rsidR="00EB71CC" w:rsidTr="00EB71CC">
        <w:tc>
          <w:tcPr>
            <w:tcW w:w="526" w:type="dxa"/>
          </w:tcPr>
          <w:p w:rsidR="00EB71CC" w:rsidRDefault="00EB71CC" w:rsidP="00EB71CC">
            <w:r>
              <w:t>4.</w:t>
            </w:r>
          </w:p>
        </w:tc>
        <w:tc>
          <w:tcPr>
            <w:tcW w:w="5284" w:type="dxa"/>
            <w:vAlign w:val="center"/>
          </w:tcPr>
          <w:p w:rsidR="00EB71CC" w:rsidRDefault="00EB71CC" w:rsidP="00EB71CC">
            <w:pPr>
              <w:pStyle w:val="Pravilnik"/>
              <w:jc w:val="left"/>
              <w:rPr>
                <w:rFonts w:asciiTheme="majorHAnsi" w:hAnsiTheme="majorHAnsi"/>
                <w:b w:val="0"/>
                <w:sz w:val="22"/>
                <w:szCs w:val="22"/>
                <w:lang w:val="hr-HR"/>
              </w:rPr>
            </w:pPr>
            <w:r>
              <w:rPr>
                <w:rFonts w:asciiTheme="majorHAnsi" w:hAnsiTheme="majorHAnsi"/>
                <w:b w:val="0"/>
                <w:sz w:val="22"/>
                <w:szCs w:val="22"/>
                <w:lang w:val="hr-HR"/>
              </w:rPr>
              <w:t>Srednjoročni plan rada IOZZPUBIH 2018-2020</w:t>
            </w:r>
          </w:p>
        </w:tc>
        <w:tc>
          <w:tcPr>
            <w:tcW w:w="2266" w:type="dxa"/>
            <w:vAlign w:val="center"/>
          </w:tcPr>
          <w:p w:rsidR="00EB71CC" w:rsidRDefault="00EB71CC" w:rsidP="00EB71CC">
            <w:pPr>
              <w:rPr>
                <w:rFonts w:ascii="Cambria" w:hAnsi="Cambria" w:cs="Tahoma"/>
              </w:rPr>
            </w:pPr>
            <w:r>
              <w:rPr>
                <w:rFonts w:ascii="Cambria" w:hAnsi="Cambria" w:cs="Tahoma"/>
              </w:rPr>
              <w:t>05-02-4-46-9/17</w:t>
            </w:r>
          </w:p>
        </w:tc>
        <w:tc>
          <w:tcPr>
            <w:tcW w:w="1558" w:type="dxa"/>
          </w:tcPr>
          <w:p w:rsidR="00EB71CC" w:rsidRDefault="00EB71CC" w:rsidP="00EB71CC">
            <w:r>
              <w:t>10.10.2017.</w:t>
            </w:r>
          </w:p>
        </w:tc>
      </w:tr>
    </w:tbl>
    <w:p w:rsidR="00EB71CC" w:rsidRDefault="00EB71CC" w:rsidP="00EB71CC"/>
    <w:tbl>
      <w:tblPr>
        <w:tblStyle w:val="TableGrid"/>
        <w:tblW w:w="9634" w:type="dxa"/>
        <w:tblLook w:val="04A0" w:firstRow="1" w:lastRow="0" w:firstColumn="1" w:lastColumn="0" w:noHBand="0" w:noVBand="1"/>
      </w:tblPr>
      <w:tblGrid>
        <w:gridCol w:w="517"/>
        <w:gridCol w:w="5290"/>
        <w:gridCol w:w="2268"/>
        <w:gridCol w:w="1559"/>
      </w:tblGrid>
      <w:tr w:rsidR="00EB71CC" w:rsidTr="00EB71CC">
        <w:tc>
          <w:tcPr>
            <w:tcW w:w="517" w:type="dxa"/>
            <w:tcBorders>
              <w:right w:val="nil"/>
            </w:tcBorders>
            <w:shd w:val="clear" w:color="auto" w:fill="D9D9D9" w:themeFill="background1" w:themeFillShade="D9"/>
          </w:tcPr>
          <w:p w:rsidR="00EB71CC" w:rsidRPr="00C37A52" w:rsidRDefault="0012713F" w:rsidP="00EB71CC">
            <w:pPr>
              <w:jc w:val="center"/>
              <w:rPr>
                <w:b/>
              </w:rPr>
            </w:pPr>
            <w:r>
              <w:rPr>
                <w:b/>
              </w:rPr>
              <w:t>XIII</w:t>
            </w:r>
          </w:p>
        </w:tc>
        <w:tc>
          <w:tcPr>
            <w:tcW w:w="9117" w:type="dxa"/>
            <w:gridSpan w:val="3"/>
            <w:tcBorders>
              <w:left w:val="nil"/>
            </w:tcBorders>
            <w:shd w:val="clear" w:color="auto" w:fill="D9D9D9" w:themeFill="background1" w:themeFillShade="D9"/>
          </w:tcPr>
          <w:p w:rsidR="00EB71CC" w:rsidRPr="00A64B08" w:rsidRDefault="00EB71CC" w:rsidP="00EB71CC">
            <w:pPr>
              <w:jc w:val="center"/>
              <w:rPr>
                <w:b/>
              </w:rPr>
            </w:pPr>
            <w:r>
              <w:rPr>
                <w:b/>
              </w:rPr>
              <w:t>PREVENCIJA KORUPCIJE</w:t>
            </w:r>
          </w:p>
        </w:tc>
      </w:tr>
      <w:tr w:rsidR="00EB71CC" w:rsidTr="00EB71CC">
        <w:tc>
          <w:tcPr>
            <w:tcW w:w="517"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90"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8"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9"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17" w:type="dxa"/>
          </w:tcPr>
          <w:p w:rsidR="00EB71CC" w:rsidRDefault="00EB71CC" w:rsidP="00EB71CC">
            <w:r>
              <w:t>1.</w:t>
            </w:r>
          </w:p>
        </w:tc>
        <w:tc>
          <w:tcPr>
            <w:tcW w:w="5290" w:type="dxa"/>
            <w:vAlign w:val="center"/>
          </w:tcPr>
          <w:p w:rsidR="00EB71CC" w:rsidRPr="009840E0" w:rsidRDefault="00EB71CC" w:rsidP="00EB71CC">
            <w:pPr>
              <w:rPr>
                <w:rFonts w:asciiTheme="majorHAnsi" w:hAnsiTheme="majorHAnsi"/>
              </w:rPr>
            </w:pPr>
            <w:r w:rsidRPr="009840E0">
              <w:rPr>
                <w:rFonts w:asciiTheme="majorHAnsi" w:hAnsiTheme="majorHAnsi"/>
              </w:rPr>
              <w:t>Antikorupcijski plan</w:t>
            </w:r>
          </w:p>
        </w:tc>
        <w:tc>
          <w:tcPr>
            <w:tcW w:w="2268" w:type="dxa"/>
            <w:vAlign w:val="center"/>
          </w:tcPr>
          <w:p w:rsidR="00EB71CC" w:rsidRPr="009840E0" w:rsidRDefault="00EB71CC" w:rsidP="00EB71CC">
            <w:pPr>
              <w:rPr>
                <w:rFonts w:asciiTheme="majorHAnsi" w:hAnsiTheme="majorHAnsi"/>
              </w:rPr>
            </w:pPr>
            <w:r w:rsidRPr="009840E0">
              <w:rPr>
                <w:rFonts w:asciiTheme="majorHAnsi" w:hAnsiTheme="majorHAnsi"/>
              </w:rPr>
              <w:t>01-5-50-1</w:t>
            </w:r>
            <w:r>
              <w:rPr>
                <w:rFonts w:asciiTheme="majorHAnsi" w:hAnsiTheme="majorHAnsi"/>
              </w:rPr>
              <w:t>3-231-2/11</w:t>
            </w:r>
          </w:p>
        </w:tc>
        <w:tc>
          <w:tcPr>
            <w:tcW w:w="1559" w:type="dxa"/>
          </w:tcPr>
          <w:p w:rsidR="00EB71CC" w:rsidRDefault="00EB71CC" w:rsidP="00EB71CC">
            <w:r>
              <w:t>17.06.2011.</w:t>
            </w:r>
          </w:p>
        </w:tc>
      </w:tr>
      <w:tr w:rsidR="00EB71CC" w:rsidTr="00EB71CC">
        <w:tc>
          <w:tcPr>
            <w:tcW w:w="517" w:type="dxa"/>
          </w:tcPr>
          <w:p w:rsidR="00EB71CC" w:rsidRDefault="00EB71CC" w:rsidP="00EB71CC">
            <w:r>
              <w:t>2.</w:t>
            </w:r>
          </w:p>
        </w:tc>
        <w:tc>
          <w:tcPr>
            <w:tcW w:w="5290" w:type="dxa"/>
            <w:vAlign w:val="center"/>
          </w:tcPr>
          <w:p w:rsidR="00EB71CC" w:rsidRPr="009840E0" w:rsidRDefault="00EB71CC" w:rsidP="00EB71CC">
            <w:pPr>
              <w:rPr>
                <w:rFonts w:asciiTheme="majorHAnsi" w:hAnsiTheme="majorHAnsi"/>
              </w:rPr>
            </w:pPr>
            <w:r w:rsidRPr="009840E0">
              <w:rPr>
                <w:rFonts w:asciiTheme="majorHAnsi" w:hAnsiTheme="majorHAnsi"/>
              </w:rPr>
              <w:t>Upustvo o uslovima i načinu podnošenja interne prijave od strane zaposlenih u Instituciji ombudsmana za zaštitu potrošača u  Bosni i Hercegovini zbog sumnje ili okolnosti postojanja korupcije</w:t>
            </w:r>
          </w:p>
        </w:tc>
        <w:tc>
          <w:tcPr>
            <w:tcW w:w="2268" w:type="dxa"/>
            <w:vAlign w:val="center"/>
          </w:tcPr>
          <w:p w:rsidR="00EB71CC" w:rsidRPr="009840E0" w:rsidRDefault="00EB71CC" w:rsidP="00EB71CC">
            <w:pPr>
              <w:rPr>
                <w:rFonts w:asciiTheme="majorHAnsi" w:hAnsiTheme="majorHAnsi"/>
              </w:rPr>
            </w:pPr>
            <w:r w:rsidRPr="009840E0">
              <w:rPr>
                <w:rFonts w:asciiTheme="majorHAnsi" w:hAnsiTheme="majorHAnsi"/>
              </w:rPr>
              <w:t>01-0</w:t>
            </w:r>
            <w:r>
              <w:rPr>
                <w:rFonts w:asciiTheme="majorHAnsi" w:hAnsiTheme="majorHAnsi"/>
              </w:rPr>
              <w:t>2-2-149/14</w:t>
            </w:r>
          </w:p>
        </w:tc>
        <w:tc>
          <w:tcPr>
            <w:tcW w:w="1559" w:type="dxa"/>
          </w:tcPr>
          <w:p w:rsidR="00EB71CC" w:rsidRDefault="00EB71CC" w:rsidP="00EB71CC"/>
          <w:p w:rsidR="00EB71CC" w:rsidRDefault="00EB71CC" w:rsidP="00EB71CC">
            <w:r>
              <w:t>18.03.2014.</w:t>
            </w:r>
          </w:p>
        </w:tc>
      </w:tr>
      <w:tr w:rsidR="00EB71CC" w:rsidTr="00EB71CC">
        <w:tc>
          <w:tcPr>
            <w:tcW w:w="517" w:type="dxa"/>
          </w:tcPr>
          <w:p w:rsidR="00EB71CC" w:rsidRDefault="00EB71CC" w:rsidP="00EB71CC">
            <w:r>
              <w:t>3.</w:t>
            </w:r>
          </w:p>
        </w:tc>
        <w:tc>
          <w:tcPr>
            <w:tcW w:w="5290"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sidRPr="009840E0">
              <w:rPr>
                <w:rFonts w:asciiTheme="majorHAnsi" w:eastAsia="Times New Roman" w:hAnsiTheme="majorHAnsi"/>
                <w:bCs/>
              </w:rPr>
              <w:t xml:space="preserve">Plan borbe protiv korupcije Institucije ombudsmana za zaštitu potrošača u Bosni i Hercegovini 2016-2017 </w:t>
            </w:r>
          </w:p>
        </w:tc>
        <w:tc>
          <w:tcPr>
            <w:tcW w:w="2268" w:type="dxa"/>
            <w:vAlign w:val="center"/>
          </w:tcPr>
          <w:p w:rsidR="00EB71CC" w:rsidRPr="009840E0" w:rsidRDefault="00EB71CC" w:rsidP="00EB71CC">
            <w:pPr>
              <w:rPr>
                <w:rFonts w:ascii="Cambria" w:hAnsi="Cambria" w:cs="Tahoma"/>
              </w:rPr>
            </w:pPr>
            <w:r w:rsidRPr="009840E0">
              <w:rPr>
                <w:rFonts w:ascii="Cambria" w:hAnsi="Cambria" w:cs="Tahoma"/>
              </w:rPr>
              <w:t>05-02-3-166-5/16</w:t>
            </w:r>
          </w:p>
          <w:p w:rsidR="00EB71CC" w:rsidRPr="009840E0" w:rsidRDefault="00EB71CC" w:rsidP="00EB71CC">
            <w:pPr>
              <w:jc w:val="center"/>
              <w:rPr>
                <w:rFonts w:ascii="Cambria" w:hAnsi="Cambria" w:cs="Tahoma"/>
              </w:rPr>
            </w:pPr>
          </w:p>
        </w:tc>
        <w:tc>
          <w:tcPr>
            <w:tcW w:w="1559" w:type="dxa"/>
          </w:tcPr>
          <w:p w:rsidR="00EB71CC" w:rsidRDefault="00EB71CC" w:rsidP="00EB71CC">
            <w:r>
              <w:t>06.05.2016.</w:t>
            </w:r>
          </w:p>
        </w:tc>
      </w:tr>
    </w:tbl>
    <w:p w:rsidR="00EB71CC" w:rsidRDefault="00EB71CC" w:rsidP="00EB71CC"/>
    <w:tbl>
      <w:tblPr>
        <w:tblStyle w:val="TableGrid"/>
        <w:tblW w:w="9634" w:type="dxa"/>
        <w:tblLook w:val="04A0" w:firstRow="1" w:lastRow="0" w:firstColumn="1" w:lastColumn="0" w:noHBand="0" w:noVBand="1"/>
      </w:tblPr>
      <w:tblGrid>
        <w:gridCol w:w="526"/>
        <w:gridCol w:w="5284"/>
        <w:gridCol w:w="2266"/>
        <w:gridCol w:w="1558"/>
      </w:tblGrid>
      <w:tr w:rsidR="00EB71CC" w:rsidTr="00EB71CC">
        <w:tc>
          <w:tcPr>
            <w:tcW w:w="526" w:type="dxa"/>
            <w:tcBorders>
              <w:right w:val="nil"/>
            </w:tcBorders>
            <w:shd w:val="clear" w:color="auto" w:fill="D9D9D9" w:themeFill="background1" w:themeFillShade="D9"/>
          </w:tcPr>
          <w:p w:rsidR="00EB71CC" w:rsidRPr="00C37A52" w:rsidRDefault="0012713F" w:rsidP="00EB71CC">
            <w:pPr>
              <w:jc w:val="center"/>
              <w:rPr>
                <w:b/>
              </w:rPr>
            </w:pPr>
            <w:r>
              <w:rPr>
                <w:b/>
              </w:rPr>
              <w:t>XIV</w:t>
            </w:r>
          </w:p>
        </w:tc>
        <w:tc>
          <w:tcPr>
            <w:tcW w:w="9108" w:type="dxa"/>
            <w:gridSpan w:val="3"/>
            <w:tcBorders>
              <w:left w:val="nil"/>
            </w:tcBorders>
            <w:shd w:val="clear" w:color="auto" w:fill="D9D9D9" w:themeFill="background1" w:themeFillShade="D9"/>
          </w:tcPr>
          <w:p w:rsidR="00EB71CC" w:rsidRPr="00A64B08" w:rsidRDefault="00EB71CC" w:rsidP="00EB71CC">
            <w:pPr>
              <w:jc w:val="center"/>
              <w:rPr>
                <w:b/>
              </w:rPr>
            </w:pPr>
            <w:r>
              <w:rPr>
                <w:b/>
              </w:rPr>
              <w:t>FINANSIJSKO UPRAVLJANJE I KONTROLA</w:t>
            </w:r>
          </w:p>
        </w:tc>
      </w:tr>
      <w:tr w:rsidR="00EB71CC" w:rsidTr="00EB71CC">
        <w:tc>
          <w:tcPr>
            <w:tcW w:w="526"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84"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6"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8"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26" w:type="dxa"/>
          </w:tcPr>
          <w:p w:rsidR="00EB71CC" w:rsidRDefault="00EB71CC" w:rsidP="00EB71CC">
            <w:r>
              <w:t>1.</w:t>
            </w:r>
          </w:p>
        </w:tc>
        <w:tc>
          <w:tcPr>
            <w:tcW w:w="5284"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 xml:space="preserve">Strategija upravljanja rizicima </w:t>
            </w:r>
          </w:p>
        </w:tc>
        <w:tc>
          <w:tcPr>
            <w:tcW w:w="2266" w:type="dxa"/>
            <w:vAlign w:val="center"/>
          </w:tcPr>
          <w:p w:rsidR="00EB71CC" w:rsidRPr="009840E0" w:rsidRDefault="00EB71CC" w:rsidP="00EB71CC">
            <w:pPr>
              <w:rPr>
                <w:rFonts w:ascii="Cambria" w:hAnsi="Cambria" w:cs="Tahoma"/>
              </w:rPr>
            </w:pPr>
            <w:r>
              <w:rPr>
                <w:rFonts w:ascii="Cambria" w:hAnsi="Cambria" w:cs="Tahoma"/>
              </w:rPr>
              <w:t>01-02-4-495-4/17</w:t>
            </w:r>
          </w:p>
        </w:tc>
        <w:tc>
          <w:tcPr>
            <w:tcW w:w="1558" w:type="dxa"/>
          </w:tcPr>
          <w:p w:rsidR="00EB71CC" w:rsidRDefault="00EB71CC" w:rsidP="00EB71CC">
            <w:r>
              <w:t>22.02.2017.</w:t>
            </w:r>
          </w:p>
        </w:tc>
      </w:tr>
    </w:tbl>
    <w:p w:rsidR="00EB71CC" w:rsidRDefault="00EB71CC" w:rsidP="00EB71CC"/>
    <w:tbl>
      <w:tblPr>
        <w:tblStyle w:val="TableGrid"/>
        <w:tblW w:w="9634" w:type="dxa"/>
        <w:tblLook w:val="04A0" w:firstRow="1" w:lastRow="0" w:firstColumn="1" w:lastColumn="0" w:noHBand="0" w:noVBand="1"/>
      </w:tblPr>
      <w:tblGrid>
        <w:gridCol w:w="526"/>
        <w:gridCol w:w="5284"/>
        <w:gridCol w:w="2266"/>
        <w:gridCol w:w="1558"/>
      </w:tblGrid>
      <w:tr w:rsidR="00EB71CC" w:rsidTr="00EB71CC">
        <w:tc>
          <w:tcPr>
            <w:tcW w:w="526" w:type="dxa"/>
            <w:tcBorders>
              <w:right w:val="nil"/>
            </w:tcBorders>
            <w:shd w:val="clear" w:color="auto" w:fill="D9D9D9" w:themeFill="background1" w:themeFillShade="D9"/>
          </w:tcPr>
          <w:p w:rsidR="00EB71CC" w:rsidRPr="00C37A52" w:rsidRDefault="00EB71CC" w:rsidP="00EB71CC">
            <w:pPr>
              <w:jc w:val="center"/>
              <w:rPr>
                <w:b/>
              </w:rPr>
            </w:pPr>
            <w:r w:rsidRPr="00C37A52">
              <w:rPr>
                <w:b/>
              </w:rPr>
              <w:t>XV</w:t>
            </w:r>
          </w:p>
        </w:tc>
        <w:tc>
          <w:tcPr>
            <w:tcW w:w="9108" w:type="dxa"/>
            <w:gridSpan w:val="3"/>
            <w:tcBorders>
              <w:left w:val="nil"/>
            </w:tcBorders>
            <w:shd w:val="clear" w:color="auto" w:fill="D9D9D9" w:themeFill="background1" w:themeFillShade="D9"/>
          </w:tcPr>
          <w:p w:rsidR="00EB71CC" w:rsidRPr="00A64B08" w:rsidRDefault="00EB71CC" w:rsidP="00EB71CC">
            <w:pPr>
              <w:jc w:val="center"/>
              <w:rPr>
                <w:b/>
              </w:rPr>
            </w:pPr>
            <w:r w:rsidRPr="000C2539">
              <w:rPr>
                <w:b/>
              </w:rPr>
              <w:t>OSTALO</w:t>
            </w:r>
          </w:p>
        </w:tc>
      </w:tr>
      <w:tr w:rsidR="00EB71CC" w:rsidTr="00EB71CC">
        <w:tc>
          <w:tcPr>
            <w:tcW w:w="526" w:type="dxa"/>
            <w:shd w:val="clear" w:color="auto" w:fill="F2F2F2" w:themeFill="background1" w:themeFillShade="F2"/>
          </w:tcPr>
          <w:p w:rsidR="00EB71CC" w:rsidRPr="00A64B08" w:rsidRDefault="00EB71CC" w:rsidP="00EB71CC">
            <w:pPr>
              <w:jc w:val="center"/>
              <w:rPr>
                <w:b/>
              </w:rPr>
            </w:pPr>
            <w:r w:rsidRPr="00A64B08">
              <w:rPr>
                <w:b/>
              </w:rPr>
              <w:t>Rb</w:t>
            </w:r>
            <w:r>
              <w:rPr>
                <w:b/>
              </w:rPr>
              <w:t>.</w:t>
            </w:r>
          </w:p>
        </w:tc>
        <w:tc>
          <w:tcPr>
            <w:tcW w:w="5284" w:type="dxa"/>
            <w:shd w:val="clear" w:color="auto" w:fill="F2F2F2" w:themeFill="background1" w:themeFillShade="F2"/>
          </w:tcPr>
          <w:p w:rsidR="00EB71CC" w:rsidRPr="00A64B08" w:rsidRDefault="00EB71CC" w:rsidP="00EB71CC">
            <w:pPr>
              <w:jc w:val="center"/>
              <w:rPr>
                <w:b/>
              </w:rPr>
            </w:pPr>
            <w:r w:rsidRPr="00A64B08">
              <w:rPr>
                <w:b/>
              </w:rPr>
              <w:t>Naziv dokumenta</w:t>
            </w:r>
          </w:p>
        </w:tc>
        <w:tc>
          <w:tcPr>
            <w:tcW w:w="2266" w:type="dxa"/>
            <w:shd w:val="clear" w:color="auto" w:fill="F2F2F2" w:themeFill="background1" w:themeFillShade="F2"/>
          </w:tcPr>
          <w:p w:rsidR="00EB71CC" w:rsidRPr="00A64B08" w:rsidRDefault="00EB71CC" w:rsidP="00EB71CC">
            <w:pPr>
              <w:jc w:val="center"/>
              <w:rPr>
                <w:b/>
              </w:rPr>
            </w:pPr>
            <w:r w:rsidRPr="00A64B08">
              <w:rPr>
                <w:b/>
              </w:rPr>
              <w:t>Broj akta</w:t>
            </w:r>
          </w:p>
        </w:tc>
        <w:tc>
          <w:tcPr>
            <w:tcW w:w="1558" w:type="dxa"/>
            <w:shd w:val="clear" w:color="auto" w:fill="F2F2F2" w:themeFill="background1" w:themeFillShade="F2"/>
          </w:tcPr>
          <w:p w:rsidR="00EB71CC" w:rsidRPr="00A64B08" w:rsidRDefault="00EB71CC" w:rsidP="00EB71CC">
            <w:pPr>
              <w:jc w:val="center"/>
              <w:rPr>
                <w:b/>
              </w:rPr>
            </w:pPr>
            <w:r w:rsidRPr="00A64B08">
              <w:rPr>
                <w:b/>
              </w:rPr>
              <w:t>Datum</w:t>
            </w:r>
          </w:p>
        </w:tc>
      </w:tr>
      <w:tr w:rsidR="00EB71CC" w:rsidTr="00EB71CC">
        <w:tc>
          <w:tcPr>
            <w:tcW w:w="526" w:type="dxa"/>
          </w:tcPr>
          <w:p w:rsidR="00EB71CC" w:rsidRDefault="00EB71CC" w:rsidP="00EB71CC">
            <w:r>
              <w:t>1.</w:t>
            </w:r>
          </w:p>
        </w:tc>
        <w:tc>
          <w:tcPr>
            <w:tcW w:w="5284" w:type="dxa"/>
            <w:vAlign w:val="center"/>
          </w:tcPr>
          <w:p w:rsidR="00EB71CC" w:rsidRPr="00296965" w:rsidRDefault="00EB71CC" w:rsidP="00EB71CC">
            <w:pPr>
              <w:rPr>
                <w:rFonts w:asciiTheme="majorHAnsi" w:hAnsiTheme="majorHAnsi"/>
              </w:rPr>
            </w:pPr>
            <w:r w:rsidRPr="00296965">
              <w:rPr>
                <w:rFonts w:asciiTheme="majorHAnsi" w:hAnsiTheme="majorHAnsi"/>
              </w:rPr>
              <w:t>Pravilnik o načinu izrade, čuvanja i upotrebi, vođenju evidencije i uništenju pečata u Instituciji Ombudsmana za zaštitu potrošača u BiH</w:t>
            </w:r>
          </w:p>
        </w:tc>
        <w:tc>
          <w:tcPr>
            <w:tcW w:w="2266" w:type="dxa"/>
            <w:vAlign w:val="center"/>
          </w:tcPr>
          <w:p w:rsidR="00EB71CC" w:rsidRPr="00296965" w:rsidRDefault="00EB71CC" w:rsidP="00EB71CC">
            <w:pPr>
              <w:rPr>
                <w:rFonts w:asciiTheme="majorHAnsi" w:hAnsiTheme="majorHAnsi"/>
              </w:rPr>
            </w:pPr>
            <w:r w:rsidRPr="00296965">
              <w:rPr>
                <w:rFonts w:asciiTheme="majorHAnsi" w:hAnsiTheme="majorHAnsi"/>
              </w:rPr>
              <w:t>01-1-12-66/09</w:t>
            </w:r>
          </w:p>
        </w:tc>
        <w:tc>
          <w:tcPr>
            <w:tcW w:w="1558" w:type="dxa"/>
          </w:tcPr>
          <w:p w:rsidR="00EB71CC" w:rsidRPr="00296965" w:rsidRDefault="00EB71CC" w:rsidP="00EB71CC">
            <w:r w:rsidRPr="00296965">
              <w:t>05.03.2009.</w:t>
            </w:r>
          </w:p>
        </w:tc>
      </w:tr>
      <w:tr w:rsidR="00EB71CC" w:rsidTr="00EB71CC">
        <w:tc>
          <w:tcPr>
            <w:tcW w:w="526" w:type="dxa"/>
          </w:tcPr>
          <w:p w:rsidR="00EB71CC" w:rsidRDefault="00EB71CC" w:rsidP="00EB71CC">
            <w:r>
              <w:t>2.</w:t>
            </w:r>
          </w:p>
        </w:tc>
        <w:tc>
          <w:tcPr>
            <w:tcW w:w="5284" w:type="dxa"/>
            <w:vAlign w:val="center"/>
          </w:tcPr>
          <w:p w:rsidR="00EB71CC" w:rsidRPr="00296965" w:rsidRDefault="00EB71CC" w:rsidP="00EB71CC">
            <w:pPr>
              <w:rPr>
                <w:rFonts w:asciiTheme="majorHAnsi" w:hAnsiTheme="majorHAnsi"/>
              </w:rPr>
            </w:pPr>
            <w:r w:rsidRPr="00296965">
              <w:rPr>
                <w:rFonts w:asciiTheme="majorHAnsi" w:hAnsiTheme="majorHAnsi"/>
              </w:rPr>
              <w:t>Odluka o određivanju mjera dobre uprave i štednje u Instituciji Ombudsmana za zaštitu potrošača u BiH</w:t>
            </w:r>
          </w:p>
        </w:tc>
        <w:tc>
          <w:tcPr>
            <w:tcW w:w="2266" w:type="dxa"/>
            <w:vAlign w:val="center"/>
          </w:tcPr>
          <w:p w:rsidR="00EB71CC" w:rsidRPr="00296965" w:rsidRDefault="00EB71CC" w:rsidP="00EB71CC">
            <w:pPr>
              <w:rPr>
                <w:rFonts w:asciiTheme="majorHAnsi" w:hAnsiTheme="majorHAnsi"/>
              </w:rPr>
            </w:pPr>
            <w:r w:rsidRPr="00296965">
              <w:rPr>
                <w:rFonts w:asciiTheme="majorHAnsi" w:hAnsiTheme="majorHAnsi"/>
              </w:rPr>
              <w:t xml:space="preserve">01-14-12-133/09 </w:t>
            </w:r>
          </w:p>
          <w:p w:rsidR="00EB71CC" w:rsidRPr="00296965" w:rsidRDefault="00EB71CC" w:rsidP="00EB71CC">
            <w:pPr>
              <w:jc w:val="center"/>
              <w:rPr>
                <w:rFonts w:asciiTheme="majorHAnsi" w:hAnsiTheme="majorHAnsi"/>
              </w:rPr>
            </w:pPr>
          </w:p>
        </w:tc>
        <w:tc>
          <w:tcPr>
            <w:tcW w:w="1558" w:type="dxa"/>
          </w:tcPr>
          <w:p w:rsidR="00EB71CC" w:rsidRPr="00296965" w:rsidRDefault="00EB71CC" w:rsidP="00EB71CC">
            <w:r w:rsidRPr="00296965">
              <w:t>14.04.2009.</w:t>
            </w:r>
          </w:p>
        </w:tc>
      </w:tr>
      <w:tr w:rsidR="00EB71CC" w:rsidTr="00EB71CC">
        <w:tc>
          <w:tcPr>
            <w:tcW w:w="526" w:type="dxa"/>
          </w:tcPr>
          <w:p w:rsidR="00EB71CC" w:rsidRDefault="00EB71CC" w:rsidP="00EB71CC">
            <w:r>
              <w:t>3.</w:t>
            </w:r>
          </w:p>
        </w:tc>
        <w:tc>
          <w:tcPr>
            <w:tcW w:w="5284" w:type="dxa"/>
            <w:vAlign w:val="center"/>
          </w:tcPr>
          <w:p w:rsidR="00EB71CC" w:rsidRPr="00296965" w:rsidRDefault="00EB71CC" w:rsidP="00EB71CC">
            <w:pPr>
              <w:rPr>
                <w:rFonts w:asciiTheme="majorHAnsi" w:hAnsiTheme="majorHAnsi"/>
              </w:rPr>
            </w:pPr>
            <w:r w:rsidRPr="00296965">
              <w:rPr>
                <w:rFonts w:asciiTheme="majorHAnsi" w:hAnsiTheme="majorHAnsi"/>
              </w:rPr>
              <w:t>Instrukcija o načinu ocjenjivanja rada zaposlenika u</w:t>
            </w:r>
          </w:p>
          <w:p w:rsidR="00EB71CC" w:rsidRPr="00296965" w:rsidRDefault="00EB71CC" w:rsidP="00EC6187">
            <w:pPr>
              <w:rPr>
                <w:rFonts w:asciiTheme="majorHAnsi" w:hAnsiTheme="majorHAnsi"/>
              </w:rPr>
            </w:pPr>
            <w:r w:rsidRPr="00296965">
              <w:rPr>
                <w:rFonts w:asciiTheme="majorHAnsi" w:hAnsiTheme="majorHAnsi"/>
              </w:rPr>
              <w:t>Instituciji ombudsmana za zaštitu potrošača u BiH</w:t>
            </w:r>
          </w:p>
        </w:tc>
        <w:tc>
          <w:tcPr>
            <w:tcW w:w="2266" w:type="dxa"/>
            <w:vAlign w:val="center"/>
          </w:tcPr>
          <w:p w:rsidR="00EB71CC" w:rsidRPr="00296965" w:rsidRDefault="00EB71CC" w:rsidP="00EB71CC">
            <w:pPr>
              <w:rPr>
                <w:rFonts w:asciiTheme="majorHAnsi" w:hAnsiTheme="majorHAnsi"/>
              </w:rPr>
            </w:pPr>
            <w:r w:rsidRPr="00296965">
              <w:rPr>
                <w:rFonts w:asciiTheme="majorHAnsi" w:hAnsiTheme="majorHAnsi"/>
              </w:rPr>
              <w:t>01-5-34-52/12</w:t>
            </w:r>
          </w:p>
        </w:tc>
        <w:tc>
          <w:tcPr>
            <w:tcW w:w="1558" w:type="dxa"/>
          </w:tcPr>
          <w:p w:rsidR="00EB71CC" w:rsidRPr="00296965" w:rsidRDefault="00EB71CC" w:rsidP="00EB71CC">
            <w:r w:rsidRPr="00296965">
              <w:t>14.02.2012.</w:t>
            </w:r>
          </w:p>
        </w:tc>
      </w:tr>
      <w:tr w:rsidR="00EB71CC" w:rsidTr="00EB71CC">
        <w:tc>
          <w:tcPr>
            <w:tcW w:w="526" w:type="dxa"/>
          </w:tcPr>
          <w:p w:rsidR="00EB71CC" w:rsidRDefault="00EB71CC" w:rsidP="00EB71CC">
            <w:r>
              <w:t>4.</w:t>
            </w:r>
          </w:p>
        </w:tc>
        <w:tc>
          <w:tcPr>
            <w:tcW w:w="5284" w:type="dxa"/>
            <w:vAlign w:val="center"/>
          </w:tcPr>
          <w:p w:rsidR="00EB71CC" w:rsidRPr="00296965" w:rsidRDefault="00EB71CC" w:rsidP="00EB71CC">
            <w:pPr>
              <w:rPr>
                <w:rFonts w:asciiTheme="majorHAnsi" w:hAnsiTheme="majorHAnsi"/>
              </w:rPr>
            </w:pPr>
            <w:r w:rsidRPr="00296965">
              <w:rPr>
                <w:rFonts w:asciiTheme="majorHAnsi" w:hAnsiTheme="majorHAnsi"/>
              </w:rPr>
              <w:t>Odluka o određivanju  radnih mjesta kojima se pošta dostavlja u rad</w:t>
            </w:r>
          </w:p>
        </w:tc>
        <w:tc>
          <w:tcPr>
            <w:tcW w:w="2266" w:type="dxa"/>
            <w:vAlign w:val="center"/>
          </w:tcPr>
          <w:p w:rsidR="00EB71CC" w:rsidRPr="00296965" w:rsidRDefault="00EB71CC" w:rsidP="00EB71CC">
            <w:pPr>
              <w:rPr>
                <w:rFonts w:asciiTheme="majorHAnsi" w:hAnsiTheme="majorHAnsi"/>
              </w:rPr>
            </w:pPr>
            <w:r w:rsidRPr="00296965">
              <w:rPr>
                <w:rFonts w:asciiTheme="majorHAnsi" w:hAnsiTheme="majorHAnsi"/>
              </w:rPr>
              <w:t xml:space="preserve">01-5-07-01-101/14 </w:t>
            </w:r>
          </w:p>
        </w:tc>
        <w:tc>
          <w:tcPr>
            <w:tcW w:w="1558" w:type="dxa"/>
          </w:tcPr>
          <w:p w:rsidR="00EB71CC" w:rsidRPr="00296965" w:rsidRDefault="00EB71CC" w:rsidP="00EB71CC">
            <w:r w:rsidRPr="00296965">
              <w:t>20.02.2014.</w:t>
            </w:r>
          </w:p>
        </w:tc>
      </w:tr>
      <w:tr w:rsidR="00EB71CC" w:rsidTr="00EB71CC">
        <w:tc>
          <w:tcPr>
            <w:tcW w:w="526" w:type="dxa"/>
          </w:tcPr>
          <w:p w:rsidR="00EB71CC" w:rsidRDefault="00EB71CC" w:rsidP="00EB71CC">
            <w:r>
              <w:lastRenderedPageBreak/>
              <w:t>5.</w:t>
            </w:r>
          </w:p>
        </w:tc>
        <w:tc>
          <w:tcPr>
            <w:tcW w:w="5284" w:type="dxa"/>
            <w:vAlign w:val="center"/>
          </w:tcPr>
          <w:p w:rsidR="00EB71CC" w:rsidRPr="009840E0" w:rsidRDefault="00EB71CC" w:rsidP="00EB71CC">
            <w:pPr>
              <w:rPr>
                <w:rFonts w:ascii="Cambria" w:hAnsi="Cambria" w:cs="Arial"/>
              </w:rPr>
            </w:pPr>
            <w:r w:rsidRPr="009840E0">
              <w:rPr>
                <w:rFonts w:asciiTheme="majorHAnsi" w:hAnsiTheme="majorHAnsi"/>
              </w:rPr>
              <w:t>Lista kategorija registraturne građe s rokovima čuvanja</w:t>
            </w:r>
          </w:p>
        </w:tc>
        <w:tc>
          <w:tcPr>
            <w:tcW w:w="2266" w:type="dxa"/>
            <w:vAlign w:val="center"/>
          </w:tcPr>
          <w:p w:rsidR="00EB71CC" w:rsidRPr="009840E0" w:rsidRDefault="00EB71CC" w:rsidP="00EB71CC">
            <w:pPr>
              <w:rPr>
                <w:rFonts w:ascii="Cambria" w:hAnsi="Cambria" w:cs="Arial"/>
              </w:rPr>
            </w:pPr>
            <w:r w:rsidRPr="009840E0">
              <w:rPr>
                <w:rFonts w:eastAsia="Times New Roman" w:cstheme="minorHAnsi"/>
              </w:rPr>
              <w:t>01-49-</w:t>
            </w:r>
            <w:r>
              <w:rPr>
                <w:rFonts w:eastAsia="Times New Roman" w:cstheme="minorHAnsi"/>
              </w:rPr>
              <w:t>1-303-3/14</w:t>
            </w:r>
          </w:p>
        </w:tc>
        <w:tc>
          <w:tcPr>
            <w:tcW w:w="1558" w:type="dxa"/>
          </w:tcPr>
          <w:p w:rsidR="00EB71CC" w:rsidRPr="00296965" w:rsidRDefault="00EB71CC" w:rsidP="00EB71CC">
            <w:r>
              <w:t>24.10.2014.</w:t>
            </w:r>
          </w:p>
        </w:tc>
      </w:tr>
      <w:tr w:rsidR="00EB71CC" w:rsidTr="00EB71CC">
        <w:tc>
          <w:tcPr>
            <w:tcW w:w="526" w:type="dxa"/>
          </w:tcPr>
          <w:p w:rsidR="00EB71CC" w:rsidRDefault="00EB71CC" w:rsidP="00EB71CC">
            <w:r>
              <w:t>6.</w:t>
            </w:r>
          </w:p>
        </w:tc>
        <w:tc>
          <w:tcPr>
            <w:tcW w:w="5284" w:type="dxa"/>
            <w:vAlign w:val="center"/>
          </w:tcPr>
          <w:p w:rsidR="00EB71CC" w:rsidRPr="008C3369" w:rsidRDefault="00EB71CC" w:rsidP="00EB71CC">
            <w:pPr>
              <w:spacing w:before="100" w:beforeAutospacing="1" w:after="100" w:afterAutospacing="1"/>
              <w:rPr>
                <w:rFonts w:asciiTheme="majorHAnsi" w:eastAsia="Times New Roman" w:hAnsiTheme="majorHAnsi"/>
                <w:bCs/>
                <w:lang w:val="en-GB"/>
              </w:rPr>
            </w:pPr>
            <w:r w:rsidRPr="005709BC">
              <w:rPr>
                <w:rFonts w:asciiTheme="majorHAnsi" w:eastAsia="Times New Roman" w:hAnsiTheme="majorHAnsi"/>
                <w:bCs/>
              </w:rPr>
              <w:t xml:space="preserve">Pravilnik </w:t>
            </w:r>
            <w:r w:rsidRPr="005709BC">
              <w:rPr>
                <w:rFonts w:asciiTheme="majorHAnsi" w:eastAsia="Times New Roman" w:hAnsiTheme="majorHAnsi"/>
                <w:bCs/>
                <w:lang w:val="en-GB"/>
              </w:rPr>
              <w:t xml:space="preserve">o </w:t>
            </w:r>
            <w:proofErr w:type="spellStart"/>
            <w:r w:rsidRPr="005709BC">
              <w:rPr>
                <w:rFonts w:asciiTheme="majorHAnsi" w:eastAsia="Times New Roman" w:hAnsiTheme="majorHAnsi"/>
                <w:bCs/>
                <w:lang w:val="en-GB"/>
              </w:rPr>
              <w:t>korištenju</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godišnjeg</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odmora</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plaćenog</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i</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neplaćenog</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odsustva</w:t>
            </w:r>
            <w:proofErr w:type="spellEnd"/>
            <w:r w:rsidRPr="005709BC">
              <w:rPr>
                <w:rFonts w:asciiTheme="majorHAnsi" w:eastAsia="Times New Roman" w:hAnsiTheme="majorHAnsi"/>
                <w:bCs/>
                <w:lang w:val="en-GB"/>
              </w:rPr>
              <w:t xml:space="preserve"> u </w:t>
            </w:r>
            <w:proofErr w:type="spellStart"/>
            <w:r w:rsidRPr="005709BC">
              <w:rPr>
                <w:rFonts w:asciiTheme="majorHAnsi" w:eastAsia="Times New Roman" w:hAnsiTheme="majorHAnsi"/>
                <w:bCs/>
                <w:lang w:val="en-GB"/>
              </w:rPr>
              <w:t>Instituciji</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ombudsmana</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za</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zaštitu</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potrošača</w:t>
            </w:r>
            <w:proofErr w:type="spellEnd"/>
            <w:r w:rsidRPr="005709BC">
              <w:rPr>
                <w:rFonts w:asciiTheme="majorHAnsi" w:eastAsia="Times New Roman" w:hAnsiTheme="majorHAnsi"/>
                <w:bCs/>
                <w:lang w:val="en-GB"/>
              </w:rPr>
              <w:t xml:space="preserve"> u </w:t>
            </w:r>
            <w:proofErr w:type="spellStart"/>
            <w:r w:rsidRPr="005709BC">
              <w:rPr>
                <w:rFonts w:asciiTheme="majorHAnsi" w:eastAsia="Times New Roman" w:hAnsiTheme="majorHAnsi"/>
                <w:bCs/>
                <w:lang w:val="en-GB"/>
              </w:rPr>
              <w:t>Bosni</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i</w:t>
            </w:r>
            <w:proofErr w:type="spellEnd"/>
            <w:r w:rsidRPr="005709BC">
              <w:rPr>
                <w:rFonts w:asciiTheme="majorHAnsi" w:eastAsia="Times New Roman" w:hAnsiTheme="majorHAnsi"/>
                <w:bCs/>
                <w:lang w:val="en-GB"/>
              </w:rPr>
              <w:t xml:space="preserve"> </w:t>
            </w:r>
            <w:proofErr w:type="spellStart"/>
            <w:r w:rsidRPr="005709BC">
              <w:rPr>
                <w:rFonts w:asciiTheme="majorHAnsi" w:eastAsia="Times New Roman" w:hAnsiTheme="majorHAnsi"/>
                <w:bCs/>
                <w:lang w:val="en-GB"/>
              </w:rPr>
              <w:t>Hercegovini</w:t>
            </w:r>
            <w:proofErr w:type="spellEnd"/>
          </w:p>
        </w:tc>
        <w:tc>
          <w:tcPr>
            <w:tcW w:w="2266" w:type="dxa"/>
            <w:vAlign w:val="center"/>
          </w:tcPr>
          <w:p w:rsidR="00EB71CC" w:rsidRPr="005709BC" w:rsidRDefault="00EB71CC" w:rsidP="00EB71CC">
            <w:pPr>
              <w:rPr>
                <w:rFonts w:ascii="Cambria" w:hAnsi="Cambria" w:cs="Tahoma"/>
              </w:rPr>
            </w:pPr>
            <w:r>
              <w:rPr>
                <w:rFonts w:ascii="Cambria" w:hAnsi="Cambria" w:cs="Tahoma"/>
              </w:rPr>
              <w:t xml:space="preserve">01-02-2-126-1/16 </w:t>
            </w:r>
          </w:p>
        </w:tc>
        <w:tc>
          <w:tcPr>
            <w:tcW w:w="1558" w:type="dxa"/>
          </w:tcPr>
          <w:p w:rsidR="00EB71CC" w:rsidRDefault="00EB71CC" w:rsidP="00EB71CC"/>
          <w:p w:rsidR="00EB71CC" w:rsidRDefault="00EB71CC" w:rsidP="00EB71CC">
            <w:r>
              <w:t>02.03.2016.</w:t>
            </w:r>
          </w:p>
        </w:tc>
      </w:tr>
      <w:tr w:rsidR="00EB71CC" w:rsidTr="00EB71CC">
        <w:tc>
          <w:tcPr>
            <w:tcW w:w="526" w:type="dxa"/>
          </w:tcPr>
          <w:p w:rsidR="00EB71CC" w:rsidRDefault="00EB71CC" w:rsidP="00EB71CC">
            <w:r>
              <w:t>7.</w:t>
            </w:r>
          </w:p>
        </w:tc>
        <w:tc>
          <w:tcPr>
            <w:tcW w:w="5284" w:type="dxa"/>
            <w:vAlign w:val="center"/>
          </w:tcPr>
          <w:p w:rsidR="00EB71CC" w:rsidRPr="005709BC" w:rsidRDefault="00EB71CC" w:rsidP="00EB71CC">
            <w:pPr>
              <w:spacing w:before="100" w:beforeAutospacing="1" w:after="100" w:afterAutospacing="1"/>
              <w:jc w:val="center"/>
              <w:rPr>
                <w:rFonts w:asciiTheme="majorHAnsi" w:eastAsia="Times New Roman" w:hAnsiTheme="majorHAnsi"/>
                <w:bCs/>
              </w:rPr>
            </w:pPr>
          </w:p>
          <w:p w:rsidR="00EB71CC" w:rsidRPr="005709BC" w:rsidRDefault="00EB71CC" w:rsidP="00EC6187">
            <w:pPr>
              <w:spacing w:before="100" w:beforeAutospacing="1" w:after="100" w:afterAutospacing="1"/>
              <w:rPr>
                <w:rFonts w:asciiTheme="majorHAnsi" w:eastAsia="Times New Roman" w:hAnsiTheme="majorHAnsi"/>
                <w:bCs/>
              </w:rPr>
            </w:pPr>
            <w:r w:rsidRPr="005709BC">
              <w:rPr>
                <w:rFonts w:asciiTheme="majorHAnsi" w:eastAsia="Times New Roman" w:hAnsiTheme="majorHAnsi"/>
                <w:bCs/>
              </w:rPr>
              <w:t>Pravilnik o provođenju Zakona o zaštiti osobnih podataka u Instituciji ombudsmana za zaštitu</w:t>
            </w:r>
            <w:r>
              <w:rPr>
                <w:rFonts w:asciiTheme="majorHAnsi" w:eastAsia="Times New Roman" w:hAnsiTheme="majorHAnsi"/>
                <w:bCs/>
              </w:rPr>
              <w:t xml:space="preserve"> potrošača u BiH</w:t>
            </w:r>
          </w:p>
        </w:tc>
        <w:tc>
          <w:tcPr>
            <w:tcW w:w="2266" w:type="dxa"/>
            <w:vAlign w:val="center"/>
          </w:tcPr>
          <w:p w:rsidR="00EB71CC" w:rsidRPr="005709BC" w:rsidRDefault="00EB71CC" w:rsidP="00EB71CC">
            <w:pPr>
              <w:rPr>
                <w:rFonts w:ascii="Cambria" w:hAnsi="Cambria" w:cs="Tahoma"/>
              </w:rPr>
            </w:pPr>
            <w:r w:rsidRPr="005709BC">
              <w:rPr>
                <w:rFonts w:ascii="Cambria" w:hAnsi="Cambria" w:cs="Tahoma"/>
              </w:rPr>
              <w:t>01-02-</w:t>
            </w:r>
            <w:r>
              <w:rPr>
                <w:rFonts w:ascii="Cambria" w:hAnsi="Cambria" w:cs="Tahoma"/>
              </w:rPr>
              <w:t>2-190-1/16</w:t>
            </w:r>
          </w:p>
        </w:tc>
        <w:tc>
          <w:tcPr>
            <w:tcW w:w="1558" w:type="dxa"/>
          </w:tcPr>
          <w:p w:rsidR="00EB71CC" w:rsidRDefault="00EB71CC" w:rsidP="00EB71CC">
            <w:r>
              <w:t>07.04.2016.</w:t>
            </w:r>
          </w:p>
        </w:tc>
      </w:tr>
      <w:tr w:rsidR="00EB71CC" w:rsidTr="00EB71CC">
        <w:tc>
          <w:tcPr>
            <w:tcW w:w="526" w:type="dxa"/>
          </w:tcPr>
          <w:p w:rsidR="00EB71CC" w:rsidRDefault="00EB71CC" w:rsidP="00EB71CC">
            <w:r>
              <w:t>8.</w:t>
            </w:r>
          </w:p>
        </w:tc>
        <w:tc>
          <w:tcPr>
            <w:tcW w:w="5284" w:type="dxa"/>
            <w:vAlign w:val="center"/>
          </w:tcPr>
          <w:p w:rsidR="00EB71CC" w:rsidRPr="005709BC" w:rsidRDefault="00EB71CC" w:rsidP="00EB71CC">
            <w:pPr>
              <w:spacing w:before="100" w:beforeAutospacing="1" w:after="100" w:afterAutospacing="1"/>
              <w:rPr>
                <w:rFonts w:asciiTheme="majorHAnsi" w:eastAsia="Times New Roman" w:hAnsiTheme="majorHAnsi"/>
                <w:bCs/>
              </w:rPr>
            </w:pPr>
            <w:r w:rsidRPr="005709BC">
              <w:rPr>
                <w:rFonts w:asciiTheme="majorHAnsi" w:eastAsia="Times New Roman" w:hAnsiTheme="majorHAnsi"/>
                <w:bCs/>
              </w:rPr>
              <w:t>Plan sigurnosti zaštite osobnih podataka Institucije ombudsmana za zaštitu potrošača u Bosni i Hercegovini</w:t>
            </w:r>
          </w:p>
        </w:tc>
        <w:tc>
          <w:tcPr>
            <w:tcW w:w="2266" w:type="dxa"/>
            <w:vAlign w:val="center"/>
          </w:tcPr>
          <w:p w:rsidR="00EB71CC" w:rsidRPr="005709BC" w:rsidRDefault="00EB71CC" w:rsidP="00EB71CC">
            <w:pPr>
              <w:rPr>
                <w:rFonts w:ascii="Cambria" w:hAnsi="Cambria" w:cs="Tahoma"/>
              </w:rPr>
            </w:pPr>
            <w:r w:rsidRPr="005709BC">
              <w:rPr>
                <w:rFonts w:ascii="Cambria" w:hAnsi="Cambria" w:cs="Tahoma"/>
              </w:rPr>
              <w:t>01-02-2-190-2/16</w:t>
            </w:r>
          </w:p>
          <w:p w:rsidR="00EB71CC" w:rsidRPr="005709BC" w:rsidRDefault="00EB71CC" w:rsidP="00EB71CC">
            <w:pPr>
              <w:jc w:val="center"/>
              <w:rPr>
                <w:rFonts w:ascii="Cambria" w:hAnsi="Cambria" w:cs="Tahoma"/>
              </w:rPr>
            </w:pPr>
          </w:p>
        </w:tc>
        <w:tc>
          <w:tcPr>
            <w:tcW w:w="1558" w:type="dxa"/>
          </w:tcPr>
          <w:p w:rsidR="00EB71CC" w:rsidRDefault="00EB71CC" w:rsidP="00EB71CC">
            <w:r>
              <w:t>07.04.2016.</w:t>
            </w:r>
          </w:p>
        </w:tc>
      </w:tr>
      <w:tr w:rsidR="00EB71CC" w:rsidTr="00EB71CC">
        <w:tc>
          <w:tcPr>
            <w:tcW w:w="526" w:type="dxa"/>
          </w:tcPr>
          <w:p w:rsidR="00EB71CC" w:rsidRDefault="00EB71CC" w:rsidP="00EB71CC">
            <w:r>
              <w:t>9.</w:t>
            </w:r>
          </w:p>
        </w:tc>
        <w:tc>
          <w:tcPr>
            <w:tcW w:w="5284"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Program rada Institucije ombudsmana za zaštitu potrošača u BiH za 2017. godinu</w:t>
            </w:r>
          </w:p>
        </w:tc>
        <w:tc>
          <w:tcPr>
            <w:tcW w:w="2266" w:type="dxa"/>
            <w:vAlign w:val="center"/>
          </w:tcPr>
          <w:p w:rsidR="00EB71CC" w:rsidRPr="009840E0" w:rsidRDefault="00EB71CC" w:rsidP="00EB71CC">
            <w:pPr>
              <w:rPr>
                <w:rFonts w:ascii="Cambria" w:hAnsi="Cambria" w:cs="Tahoma"/>
              </w:rPr>
            </w:pPr>
            <w:r>
              <w:rPr>
                <w:rFonts w:ascii="Cambria" w:hAnsi="Cambria" w:cs="Tahoma"/>
              </w:rPr>
              <w:t>05-02-4-350-14/16</w:t>
            </w:r>
          </w:p>
        </w:tc>
        <w:tc>
          <w:tcPr>
            <w:tcW w:w="1558" w:type="dxa"/>
          </w:tcPr>
          <w:p w:rsidR="00EB71CC" w:rsidRDefault="00EB71CC" w:rsidP="00EB71CC">
            <w:r>
              <w:t>03.02.2017.</w:t>
            </w:r>
          </w:p>
        </w:tc>
      </w:tr>
      <w:tr w:rsidR="00EB71CC" w:rsidTr="00EB71CC">
        <w:tc>
          <w:tcPr>
            <w:tcW w:w="526" w:type="dxa"/>
          </w:tcPr>
          <w:p w:rsidR="00EB71CC" w:rsidRDefault="00EB71CC" w:rsidP="00EB71CC">
            <w:r>
              <w:t>10.</w:t>
            </w:r>
          </w:p>
        </w:tc>
        <w:tc>
          <w:tcPr>
            <w:tcW w:w="5284" w:type="dxa"/>
            <w:vAlign w:val="center"/>
          </w:tcPr>
          <w:p w:rsidR="00EB71CC" w:rsidRPr="009840E0"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Kodeks ponašanja državnih službenika i uposlenika Institucije ombudsmana za zaštitu potrošača u BiH</w:t>
            </w:r>
          </w:p>
        </w:tc>
        <w:tc>
          <w:tcPr>
            <w:tcW w:w="2266" w:type="dxa"/>
            <w:vAlign w:val="center"/>
          </w:tcPr>
          <w:p w:rsidR="00EB71CC" w:rsidRPr="009840E0" w:rsidRDefault="00EB71CC" w:rsidP="00EB71CC">
            <w:pPr>
              <w:rPr>
                <w:rFonts w:ascii="Cambria" w:hAnsi="Cambria" w:cs="Tahoma"/>
              </w:rPr>
            </w:pPr>
            <w:r>
              <w:rPr>
                <w:rFonts w:ascii="Cambria" w:hAnsi="Cambria" w:cs="Tahoma"/>
              </w:rPr>
              <w:t xml:space="preserve"> 01-02-4-495-5/16 </w:t>
            </w:r>
          </w:p>
        </w:tc>
        <w:tc>
          <w:tcPr>
            <w:tcW w:w="1558" w:type="dxa"/>
          </w:tcPr>
          <w:p w:rsidR="00EB71CC" w:rsidRDefault="00EB71CC" w:rsidP="00EB71CC">
            <w:r>
              <w:t>24.02.2017.</w:t>
            </w:r>
          </w:p>
        </w:tc>
      </w:tr>
      <w:tr w:rsidR="00EB71CC" w:rsidTr="00EB71CC">
        <w:tc>
          <w:tcPr>
            <w:tcW w:w="526" w:type="dxa"/>
          </w:tcPr>
          <w:p w:rsidR="00EB71CC" w:rsidRDefault="0012713F" w:rsidP="00EB71CC">
            <w:r>
              <w:t>11.</w:t>
            </w:r>
          </w:p>
        </w:tc>
        <w:tc>
          <w:tcPr>
            <w:tcW w:w="5284" w:type="dxa"/>
            <w:vAlign w:val="center"/>
          </w:tcPr>
          <w:p w:rsidR="00EB71CC"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Pravilnik o načinu provođenja obuka uposlenika Institucije ombudsmana za zaštitu potrošača u BiH</w:t>
            </w:r>
          </w:p>
        </w:tc>
        <w:tc>
          <w:tcPr>
            <w:tcW w:w="2266" w:type="dxa"/>
            <w:vAlign w:val="center"/>
          </w:tcPr>
          <w:p w:rsidR="00EB71CC" w:rsidRDefault="00EB71CC" w:rsidP="00EB71CC">
            <w:pPr>
              <w:rPr>
                <w:rFonts w:ascii="Cambria" w:hAnsi="Cambria" w:cs="Tahoma"/>
              </w:rPr>
            </w:pPr>
            <w:r>
              <w:rPr>
                <w:rFonts w:ascii="Cambria" w:hAnsi="Cambria" w:cs="Tahoma"/>
              </w:rPr>
              <w:t xml:space="preserve">01-02-4-495-7/19 </w:t>
            </w:r>
          </w:p>
        </w:tc>
        <w:tc>
          <w:tcPr>
            <w:tcW w:w="1558" w:type="dxa"/>
          </w:tcPr>
          <w:p w:rsidR="00EB71CC" w:rsidRDefault="00EB71CC" w:rsidP="00EB71CC">
            <w:r>
              <w:t>21.03.2017.</w:t>
            </w:r>
          </w:p>
        </w:tc>
      </w:tr>
      <w:tr w:rsidR="00EB71CC" w:rsidTr="00EB71CC">
        <w:tc>
          <w:tcPr>
            <w:tcW w:w="526" w:type="dxa"/>
          </w:tcPr>
          <w:p w:rsidR="00EB71CC" w:rsidRDefault="0012713F" w:rsidP="00EB71CC">
            <w:r>
              <w:t>12.</w:t>
            </w:r>
          </w:p>
        </w:tc>
        <w:tc>
          <w:tcPr>
            <w:tcW w:w="5284" w:type="dxa"/>
            <w:vAlign w:val="center"/>
          </w:tcPr>
          <w:p w:rsidR="00EB71CC" w:rsidRDefault="00EB71CC" w:rsidP="00EB71CC">
            <w:pPr>
              <w:spacing w:before="100" w:beforeAutospacing="1" w:after="100" w:afterAutospacing="1"/>
              <w:rPr>
                <w:rFonts w:asciiTheme="majorHAnsi" w:eastAsia="Times New Roman" w:hAnsiTheme="majorHAnsi"/>
                <w:bCs/>
              </w:rPr>
            </w:pPr>
            <w:r>
              <w:rPr>
                <w:rFonts w:asciiTheme="majorHAnsi" w:eastAsia="Times New Roman" w:hAnsiTheme="majorHAnsi"/>
                <w:bCs/>
              </w:rPr>
              <w:t>Izvješće o radu Institucije ombudsmana za zaštitu potrošača u BiH</w:t>
            </w:r>
          </w:p>
        </w:tc>
        <w:tc>
          <w:tcPr>
            <w:tcW w:w="2266" w:type="dxa"/>
            <w:vAlign w:val="center"/>
          </w:tcPr>
          <w:p w:rsidR="00EB71CC" w:rsidRDefault="00EB71CC" w:rsidP="00EB71CC">
            <w:pPr>
              <w:rPr>
                <w:rFonts w:ascii="Cambria" w:hAnsi="Cambria" w:cs="Tahoma"/>
              </w:rPr>
            </w:pPr>
            <w:r>
              <w:rPr>
                <w:rFonts w:ascii="Cambria" w:hAnsi="Cambria" w:cs="Tahoma"/>
              </w:rPr>
              <w:t xml:space="preserve">01-02-4-492-23/16 </w:t>
            </w:r>
          </w:p>
        </w:tc>
        <w:tc>
          <w:tcPr>
            <w:tcW w:w="1558" w:type="dxa"/>
          </w:tcPr>
          <w:p w:rsidR="00EB71CC" w:rsidRDefault="00EB71CC" w:rsidP="00EB71CC">
            <w:r>
              <w:t>25.04.2017.</w:t>
            </w:r>
          </w:p>
        </w:tc>
      </w:tr>
      <w:tr w:rsidR="00EB71CC" w:rsidTr="00EB71CC">
        <w:tc>
          <w:tcPr>
            <w:tcW w:w="526" w:type="dxa"/>
          </w:tcPr>
          <w:p w:rsidR="00EB71CC" w:rsidRDefault="0012713F" w:rsidP="00EB71CC">
            <w:r>
              <w:t>13.</w:t>
            </w:r>
          </w:p>
        </w:tc>
        <w:tc>
          <w:tcPr>
            <w:tcW w:w="5284" w:type="dxa"/>
            <w:vAlign w:val="center"/>
          </w:tcPr>
          <w:p w:rsidR="00EB71CC" w:rsidRDefault="00EB71CC" w:rsidP="00EB71CC">
            <w:pPr>
              <w:pStyle w:val="Pravilnik"/>
              <w:jc w:val="left"/>
              <w:rPr>
                <w:rFonts w:asciiTheme="majorHAnsi" w:hAnsiTheme="majorHAnsi"/>
                <w:b w:val="0"/>
                <w:sz w:val="22"/>
                <w:szCs w:val="22"/>
                <w:lang w:val="hr-HR"/>
              </w:rPr>
            </w:pPr>
            <w:r>
              <w:rPr>
                <w:rFonts w:asciiTheme="majorHAnsi" w:hAnsiTheme="majorHAnsi"/>
                <w:b w:val="0"/>
                <w:sz w:val="22"/>
                <w:szCs w:val="22"/>
                <w:lang w:val="hr-HR"/>
              </w:rPr>
              <w:t>Naputak o postupanju po žalbama povodom kršenja prava potrošača</w:t>
            </w:r>
          </w:p>
        </w:tc>
        <w:tc>
          <w:tcPr>
            <w:tcW w:w="2266" w:type="dxa"/>
            <w:vAlign w:val="center"/>
          </w:tcPr>
          <w:p w:rsidR="00EB71CC" w:rsidRDefault="00EB71CC" w:rsidP="00EB71CC">
            <w:pPr>
              <w:rPr>
                <w:rFonts w:ascii="Cambria" w:hAnsi="Cambria" w:cs="Tahoma"/>
              </w:rPr>
            </w:pPr>
            <w:r>
              <w:rPr>
                <w:rFonts w:ascii="Cambria" w:hAnsi="Cambria" w:cs="Tahoma"/>
              </w:rPr>
              <w:t>01-02-4-498-2/17</w:t>
            </w:r>
          </w:p>
        </w:tc>
        <w:tc>
          <w:tcPr>
            <w:tcW w:w="1558" w:type="dxa"/>
          </w:tcPr>
          <w:p w:rsidR="00EB71CC" w:rsidRDefault="00EB71CC" w:rsidP="00EB71CC">
            <w:r>
              <w:t>27.11.2017.</w:t>
            </w:r>
          </w:p>
        </w:tc>
      </w:tr>
    </w:tbl>
    <w:p w:rsidR="00EB71CC" w:rsidRDefault="00EB71CC" w:rsidP="00EA1EF3">
      <w:pPr>
        <w:rPr>
          <w:szCs w:val="24"/>
        </w:rPr>
      </w:pPr>
    </w:p>
    <w:p w:rsidR="00524E4D" w:rsidRPr="001A1BE2" w:rsidRDefault="00524E4D" w:rsidP="00524E4D">
      <w:pPr>
        <w:spacing w:line="240" w:lineRule="auto"/>
        <w:jc w:val="right"/>
        <w:rPr>
          <w:b/>
          <w:sz w:val="24"/>
          <w:szCs w:val="24"/>
        </w:rPr>
      </w:pPr>
      <w:r w:rsidRPr="001A1BE2">
        <w:rPr>
          <w:b/>
          <w:sz w:val="24"/>
          <w:szCs w:val="24"/>
        </w:rPr>
        <w:t xml:space="preserve">                                                                                                        </w:t>
      </w:r>
      <w:r>
        <w:rPr>
          <w:b/>
          <w:sz w:val="24"/>
          <w:szCs w:val="24"/>
        </w:rPr>
        <w:t xml:space="preserve">       </w:t>
      </w:r>
      <w:r w:rsidRPr="001A1BE2">
        <w:rPr>
          <w:b/>
          <w:sz w:val="24"/>
          <w:szCs w:val="24"/>
        </w:rPr>
        <w:t>Rukovoditelj institucije</w:t>
      </w:r>
    </w:p>
    <w:p w:rsidR="00524E4D" w:rsidRPr="001A1BE2" w:rsidRDefault="00524E4D" w:rsidP="00524E4D">
      <w:pPr>
        <w:spacing w:line="240" w:lineRule="auto"/>
        <w:rPr>
          <w:b/>
          <w:i/>
          <w:sz w:val="24"/>
          <w:szCs w:val="24"/>
        </w:rPr>
      </w:pPr>
      <w:r w:rsidRPr="001A1BE2">
        <w:rPr>
          <w:sz w:val="24"/>
          <w:szCs w:val="24"/>
        </w:rPr>
        <w:t>Mostar, 2</w:t>
      </w:r>
      <w:r w:rsidR="008B15E8">
        <w:rPr>
          <w:sz w:val="24"/>
          <w:szCs w:val="24"/>
        </w:rPr>
        <w:t>2</w:t>
      </w:r>
      <w:r w:rsidRPr="001A1BE2">
        <w:rPr>
          <w:sz w:val="24"/>
          <w:szCs w:val="24"/>
        </w:rPr>
        <w:t>.02.201</w:t>
      </w:r>
      <w:r w:rsidR="008B15E8">
        <w:rPr>
          <w:sz w:val="24"/>
          <w:szCs w:val="24"/>
        </w:rPr>
        <w:t>9</w:t>
      </w:r>
      <w:r>
        <w:rPr>
          <w:sz w:val="24"/>
          <w:szCs w:val="24"/>
        </w:rPr>
        <w:t>. godine</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t xml:space="preserve">          </w:t>
      </w:r>
      <w:r w:rsidRPr="001A1BE2">
        <w:rPr>
          <w:sz w:val="24"/>
          <w:szCs w:val="24"/>
        </w:rPr>
        <w:t>________________</w:t>
      </w:r>
    </w:p>
    <w:p w:rsidR="00524E4D" w:rsidRPr="001A1BE2" w:rsidRDefault="00524E4D" w:rsidP="00524E4D">
      <w:pPr>
        <w:spacing w:line="240" w:lineRule="auto"/>
        <w:jc w:val="center"/>
        <w:rPr>
          <w:sz w:val="24"/>
          <w:szCs w:val="24"/>
        </w:rPr>
      </w:pPr>
      <w:r>
        <w:rPr>
          <w:sz w:val="24"/>
          <w:szCs w:val="24"/>
        </w:rPr>
        <w:t xml:space="preserve">                                                                                                                             </w:t>
      </w:r>
      <w:r w:rsidRPr="001A1BE2">
        <w:rPr>
          <w:sz w:val="24"/>
          <w:szCs w:val="24"/>
        </w:rPr>
        <w:t>(svojeručni potpis)</w:t>
      </w:r>
    </w:p>
    <w:p w:rsidR="00524E4D" w:rsidRDefault="00524E4D" w:rsidP="00524E4D">
      <w:pPr>
        <w:rPr>
          <w:szCs w:val="24"/>
        </w:rPr>
      </w:pPr>
    </w:p>
    <w:p w:rsidR="00EB71CC" w:rsidRPr="001A1BE2" w:rsidRDefault="00EB71CC" w:rsidP="00EA1EF3">
      <w:pPr>
        <w:rPr>
          <w:szCs w:val="24"/>
        </w:rPr>
      </w:pPr>
    </w:p>
    <w:sectPr w:rsidR="00EB71CC" w:rsidRPr="001A1BE2" w:rsidSect="000E4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5CE9"/>
    <w:multiLevelType w:val="hybridMultilevel"/>
    <w:tmpl w:val="BA5CE55A"/>
    <w:lvl w:ilvl="0" w:tplc="3178334E">
      <w:start w:val="1"/>
      <w:numFmt w:val="upperLetter"/>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43B40FE6"/>
    <w:multiLevelType w:val="hybridMultilevel"/>
    <w:tmpl w:val="BA5CE55A"/>
    <w:lvl w:ilvl="0" w:tplc="3178334E">
      <w:start w:val="1"/>
      <w:numFmt w:val="upperLetter"/>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57E66082"/>
    <w:multiLevelType w:val="hybridMultilevel"/>
    <w:tmpl w:val="2D3224FE"/>
    <w:lvl w:ilvl="0" w:tplc="AD0E5E96">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58B14BD5"/>
    <w:multiLevelType w:val="hybridMultilevel"/>
    <w:tmpl w:val="DD34D7C0"/>
    <w:lvl w:ilvl="0" w:tplc="72AEF17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5ACD2D4A"/>
    <w:multiLevelType w:val="hybridMultilevel"/>
    <w:tmpl w:val="45949566"/>
    <w:lvl w:ilvl="0" w:tplc="3FE46C8A">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nsid w:val="68A43BFC"/>
    <w:multiLevelType w:val="hybridMultilevel"/>
    <w:tmpl w:val="DAE2B9E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BC"/>
    <w:rsid w:val="000119F6"/>
    <w:rsid w:val="00032357"/>
    <w:rsid w:val="000B1770"/>
    <w:rsid w:val="000B33BC"/>
    <w:rsid w:val="000B500F"/>
    <w:rsid w:val="000E4EEA"/>
    <w:rsid w:val="000F2372"/>
    <w:rsid w:val="000F6204"/>
    <w:rsid w:val="0012713F"/>
    <w:rsid w:val="00136D94"/>
    <w:rsid w:val="0013765F"/>
    <w:rsid w:val="00163A3C"/>
    <w:rsid w:val="001762D1"/>
    <w:rsid w:val="001841B1"/>
    <w:rsid w:val="00197C3C"/>
    <w:rsid w:val="00197D0D"/>
    <w:rsid w:val="001A1BE2"/>
    <w:rsid w:val="001C1C5C"/>
    <w:rsid w:val="001F29A0"/>
    <w:rsid w:val="001F53DF"/>
    <w:rsid w:val="0023456E"/>
    <w:rsid w:val="002461F7"/>
    <w:rsid w:val="00264FBF"/>
    <w:rsid w:val="002C133D"/>
    <w:rsid w:val="002E4D88"/>
    <w:rsid w:val="003033D8"/>
    <w:rsid w:val="00310511"/>
    <w:rsid w:val="00325BAE"/>
    <w:rsid w:val="0032774F"/>
    <w:rsid w:val="00374741"/>
    <w:rsid w:val="003A11F5"/>
    <w:rsid w:val="003D7B4F"/>
    <w:rsid w:val="003E4675"/>
    <w:rsid w:val="0041272E"/>
    <w:rsid w:val="00432468"/>
    <w:rsid w:val="0044750E"/>
    <w:rsid w:val="004D06DF"/>
    <w:rsid w:val="004E50A3"/>
    <w:rsid w:val="0050527C"/>
    <w:rsid w:val="00524E4D"/>
    <w:rsid w:val="005401CE"/>
    <w:rsid w:val="005458DC"/>
    <w:rsid w:val="0055361F"/>
    <w:rsid w:val="00567116"/>
    <w:rsid w:val="0057544C"/>
    <w:rsid w:val="00606715"/>
    <w:rsid w:val="006134A9"/>
    <w:rsid w:val="00616A92"/>
    <w:rsid w:val="0064173A"/>
    <w:rsid w:val="0068413C"/>
    <w:rsid w:val="00692CDA"/>
    <w:rsid w:val="00736D4E"/>
    <w:rsid w:val="00766C0A"/>
    <w:rsid w:val="007813C4"/>
    <w:rsid w:val="007B63EA"/>
    <w:rsid w:val="007F33A2"/>
    <w:rsid w:val="00872E44"/>
    <w:rsid w:val="008A5344"/>
    <w:rsid w:val="008B15E8"/>
    <w:rsid w:val="008E6D7A"/>
    <w:rsid w:val="00911068"/>
    <w:rsid w:val="009316DB"/>
    <w:rsid w:val="00932914"/>
    <w:rsid w:val="00950F66"/>
    <w:rsid w:val="00971F7D"/>
    <w:rsid w:val="009E1FEB"/>
    <w:rsid w:val="009E299D"/>
    <w:rsid w:val="00A40984"/>
    <w:rsid w:val="00A446D6"/>
    <w:rsid w:val="00AF7082"/>
    <w:rsid w:val="00B0729D"/>
    <w:rsid w:val="00B338C8"/>
    <w:rsid w:val="00B36B1A"/>
    <w:rsid w:val="00B50856"/>
    <w:rsid w:val="00B51250"/>
    <w:rsid w:val="00BB76AF"/>
    <w:rsid w:val="00BC38A2"/>
    <w:rsid w:val="00BC46F8"/>
    <w:rsid w:val="00BC55C5"/>
    <w:rsid w:val="00BE190F"/>
    <w:rsid w:val="00BE25D8"/>
    <w:rsid w:val="00BF5B37"/>
    <w:rsid w:val="00C02BBD"/>
    <w:rsid w:val="00C142D3"/>
    <w:rsid w:val="00C1628C"/>
    <w:rsid w:val="00C5048B"/>
    <w:rsid w:val="00C71FF7"/>
    <w:rsid w:val="00C74454"/>
    <w:rsid w:val="00C861DD"/>
    <w:rsid w:val="00C96C0E"/>
    <w:rsid w:val="00CB3E9E"/>
    <w:rsid w:val="00CE60EE"/>
    <w:rsid w:val="00D21A4A"/>
    <w:rsid w:val="00D22436"/>
    <w:rsid w:val="00D466E6"/>
    <w:rsid w:val="00DD04C9"/>
    <w:rsid w:val="00E02BF7"/>
    <w:rsid w:val="00E074A5"/>
    <w:rsid w:val="00E3126B"/>
    <w:rsid w:val="00E47C9A"/>
    <w:rsid w:val="00E527F7"/>
    <w:rsid w:val="00E77168"/>
    <w:rsid w:val="00E936D9"/>
    <w:rsid w:val="00EA1EF3"/>
    <w:rsid w:val="00EA7906"/>
    <w:rsid w:val="00EB71CC"/>
    <w:rsid w:val="00EC6187"/>
    <w:rsid w:val="00EE5AC8"/>
    <w:rsid w:val="00F22E5B"/>
    <w:rsid w:val="00F50896"/>
    <w:rsid w:val="00F86F1E"/>
    <w:rsid w:val="00FB23F9"/>
    <w:rsid w:val="00FF59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8E884-B9E7-4892-8F6B-B634D43C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E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33BC"/>
    <w:pPr>
      <w:ind w:left="720"/>
      <w:contextualSpacing/>
    </w:pPr>
  </w:style>
  <w:style w:type="table" w:styleId="TableGrid">
    <w:name w:val="Table Grid"/>
    <w:basedOn w:val="TableNormal"/>
    <w:uiPriority w:val="39"/>
    <w:rsid w:val="000B3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8E6D7A"/>
    <w:pPr>
      <w:spacing w:after="0" w:line="240" w:lineRule="auto"/>
      <w:jc w:val="both"/>
    </w:pPr>
    <w:rPr>
      <w:rFonts w:ascii="Tahoma" w:eastAsia="Times New Roman" w:hAnsi="Tahoma" w:cs="Tahoma"/>
      <w:sz w:val="24"/>
      <w:szCs w:val="24"/>
      <w:lang w:val="en-GB"/>
    </w:rPr>
  </w:style>
  <w:style w:type="character" w:customStyle="1" w:styleId="BodyTextChar">
    <w:name w:val="Body Text Char"/>
    <w:basedOn w:val="DefaultParagraphFont"/>
    <w:link w:val="BodyText"/>
    <w:uiPriority w:val="99"/>
    <w:semiHidden/>
    <w:rsid w:val="008E6D7A"/>
    <w:rPr>
      <w:rFonts w:ascii="Tahoma" w:eastAsia="Times New Roman" w:hAnsi="Tahoma" w:cs="Tahoma"/>
      <w:sz w:val="24"/>
      <w:szCs w:val="24"/>
      <w:lang w:val="en-GB"/>
    </w:rPr>
  </w:style>
  <w:style w:type="paragraph" w:styleId="BalloonText">
    <w:name w:val="Balloon Text"/>
    <w:basedOn w:val="Normal"/>
    <w:link w:val="BalloonTextChar"/>
    <w:uiPriority w:val="99"/>
    <w:semiHidden/>
    <w:unhideWhenUsed/>
    <w:rsid w:val="00684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3C"/>
    <w:rPr>
      <w:rFonts w:ascii="Segoe UI" w:eastAsia="Calibri" w:hAnsi="Segoe UI" w:cs="Segoe UI"/>
      <w:sz w:val="18"/>
      <w:szCs w:val="18"/>
    </w:rPr>
  </w:style>
  <w:style w:type="paragraph" w:styleId="NormalWeb">
    <w:name w:val="Normal (Web)"/>
    <w:basedOn w:val="Normal"/>
    <w:uiPriority w:val="99"/>
    <w:semiHidden/>
    <w:unhideWhenUsed/>
    <w:rsid w:val="00432468"/>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Pravilnik">
    <w:name w:val="Pravilnik"/>
    <w:basedOn w:val="Normal"/>
    <w:rsid w:val="00EB71CC"/>
    <w:pPr>
      <w:spacing w:before="100" w:beforeAutospacing="1" w:after="100" w:afterAutospacing="1" w:line="240" w:lineRule="auto"/>
      <w:jc w:val="center"/>
    </w:pPr>
    <w:rPr>
      <w:rFonts w:ascii="Tahoma" w:eastAsia="Times New Roman" w:hAnsi="Tahoma"/>
      <w:b/>
      <w:bC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40567">
      <w:bodyDiv w:val="1"/>
      <w:marLeft w:val="0"/>
      <w:marRight w:val="0"/>
      <w:marTop w:val="0"/>
      <w:marBottom w:val="0"/>
      <w:divBdr>
        <w:top w:val="none" w:sz="0" w:space="0" w:color="auto"/>
        <w:left w:val="none" w:sz="0" w:space="0" w:color="auto"/>
        <w:bottom w:val="none" w:sz="0" w:space="0" w:color="auto"/>
        <w:right w:val="none" w:sz="0" w:space="0" w:color="auto"/>
      </w:divBdr>
    </w:div>
    <w:div w:id="178085054">
      <w:bodyDiv w:val="1"/>
      <w:marLeft w:val="0"/>
      <w:marRight w:val="0"/>
      <w:marTop w:val="0"/>
      <w:marBottom w:val="0"/>
      <w:divBdr>
        <w:top w:val="none" w:sz="0" w:space="0" w:color="auto"/>
        <w:left w:val="none" w:sz="0" w:space="0" w:color="auto"/>
        <w:bottom w:val="none" w:sz="0" w:space="0" w:color="auto"/>
        <w:right w:val="none" w:sz="0" w:space="0" w:color="auto"/>
      </w:divBdr>
    </w:div>
    <w:div w:id="422070794">
      <w:bodyDiv w:val="1"/>
      <w:marLeft w:val="0"/>
      <w:marRight w:val="0"/>
      <w:marTop w:val="0"/>
      <w:marBottom w:val="0"/>
      <w:divBdr>
        <w:top w:val="none" w:sz="0" w:space="0" w:color="auto"/>
        <w:left w:val="none" w:sz="0" w:space="0" w:color="auto"/>
        <w:bottom w:val="none" w:sz="0" w:space="0" w:color="auto"/>
        <w:right w:val="none" w:sz="0" w:space="0" w:color="auto"/>
      </w:divBdr>
    </w:div>
    <w:div w:id="603417397">
      <w:bodyDiv w:val="1"/>
      <w:marLeft w:val="0"/>
      <w:marRight w:val="0"/>
      <w:marTop w:val="0"/>
      <w:marBottom w:val="0"/>
      <w:divBdr>
        <w:top w:val="none" w:sz="0" w:space="0" w:color="auto"/>
        <w:left w:val="none" w:sz="0" w:space="0" w:color="auto"/>
        <w:bottom w:val="none" w:sz="0" w:space="0" w:color="auto"/>
        <w:right w:val="none" w:sz="0" w:space="0" w:color="auto"/>
      </w:divBdr>
    </w:div>
    <w:div w:id="679351695">
      <w:bodyDiv w:val="1"/>
      <w:marLeft w:val="0"/>
      <w:marRight w:val="0"/>
      <w:marTop w:val="0"/>
      <w:marBottom w:val="0"/>
      <w:divBdr>
        <w:top w:val="none" w:sz="0" w:space="0" w:color="auto"/>
        <w:left w:val="none" w:sz="0" w:space="0" w:color="auto"/>
        <w:bottom w:val="none" w:sz="0" w:space="0" w:color="auto"/>
        <w:right w:val="none" w:sz="0" w:space="0" w:color="auto"/>
      </w:divBdr>
    </w:div>
    <w:div w:id="815606155">
      <w:bodyDiv w:val="1"/>
      <w:marLeft w:val="0"/>
      <w:marRight w:val="0"/>
      <w:marTop w:val="0"/>
      <w:marBottom w:val="0"/>
      <w:divBdr>
        <w:top w:val="none" w:sz="0" w:space="0" w:color="auto"/>
        <w:left w:val="none" w:sz="0" w:space="0" w:color="auto"/>
        <w:bottom w:val="none" w:sz="0" w:space="0" w:color="auto"/>
        <w:right w:val="none" w:sz="0" w:space="0" w:color="auto"/>
      </w:divBdr>
    </w:div>
    <w:div w:id="816846912">
      <w:bodyDiv w:val="1"/>
      <w:marLeft w:val="0"/>
      <w:marRight w:val="0"/>
      <w:marTop w:val="0"/>
      <w:marBottom w:val="0"/>
      <w:divBdr>
        <w:top w:val="none" w:sz="0" w:space="0" w:color="auto"/>
        <w:left w:val="none" w:sz="0" w:space="0" w:color="auto"/>
        <w:bottom w:val="none" w:sz="0" w:space="0" w:color="auto"/>
        <w:right w:val="none" w:sz="0" w:space="0" w:color="auto"/>
      </w:divBdr>
    </w:div>
    <w:div w:id="1222210814">
      <w:bodyDiv w:val="1"/>
      <w:marLeft w:val="0"/>
      <w:marRight w:val="0"/>
      <w:marTop w:val="0"/>
      <w:marBottom w:val="0"/>
      <w:divBdr>
        <w:top w:val="none" w:sz="0" w:space="0" w:color="auto"/>
        <w:left w:val="none" w:sz="0" w:space="0" w:color="auto"/>
        <w:bottom w:val="none" w:sz="0" w:space="0" w:color="auto"/>
        <w:right w:val="none" w:sz="0" w:space="0" w:color="auto"/>
      </w:divBdr>
    </w:div>
    <w:div w:id="19229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1055-1572-441D-A4FD-E48DBC77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2216</Words>
  <Characters>12637</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abida.catic</dc:creator>
  <cp:keywords/>
  <dc:description/>
  <cp:lastModifiedBy>Elnedin Čanković</cp:lastModifiedBy>
  <cp:revision>28</cp:revision>
  <cp:lastPrinted>2018-03-30T12:11:00Z</cp:lastPrinted>
  <dcterms:created xsi:type="dcterms:W3CDTF">2017-02-28T09:55:00Z</dcterms:created>
  <dcterms:modified xsi:type="dcterms:W3CDTF">2019-02-22T11:24:00Z</dcterms:modified>
</cp:coreProperties>
</file>